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26"/>
        </w:tabs>
        <w:jc w:val="center"/>
        <w:rPr>
          <w:rFonts w:ascii="宋体" w:hAnsi="宋体"/>
          <w:b/>
          <w:sz w:val="44"/>
          <w:szCs w:val="44"/>
        </w:rPr>
      </w:pPr>
      <w:bookmarkStart w:id="0" w:name="_Hlk26780924"/>
      <w:bookmarkStart w:id="1" w:name="_Hlk26781129"/>
      <w:r>
        <w:rPr>
          <w:rFonts w:hint="eastAsia" w:ascii="宋体" w:hAnsi="宋体"/>
          <w:b/>
          <w:sz w:val="44"/>
          <w:szCs w:val="44"/>
        </w:rPr>
        <w:t>2024-2025年度城市道路交通组织优化设计服务</w:t>
      </w:r>
    </w:p>
    <w:p>
      <w:pPr>
        <w:tabs>
          <w:tab w:val="left" w:pos="126"/>
        </w:tabs>
        <w:jc w:val="center"/>
        <w:rPr>
          <w:rFonts w:ascii="宋体" w:hAnsi="宋体"/>
          <w:b/>
          <w:bCs/>
          <w:sz w:val="44"/>
          <w:szCs w:val="44"/>
        </w:rPr>
      </w:pPr>
      <w:r>
        <w:rPr>
          <w:rFonts w:hint="eastAsia" w:ascii="宋体" w:hAnsi="宋体"/>
          <w:b/>
          <w:sz w:val="44"/>
          <w:szCs w:val="44"/>
        </w:rPr>
        <w:t>重庆市黔江民族医院区域交通组织优化方案施工图设计说明</w:t>
      </w:r>
      <w:bookmarkEnd w:id="0"/>
      <w:r>
        <w:rPr>
          <w:rFonts w:ascii="宋体" w:hAnsi="宋体"/>
          <w:b/>
          <w:sz w:val="44"/>
          <w:szCs w:val="44"/>
        </w:rPr>
        <w:br w:type="textWrapping" w:clear="all"/>
      </w:r>
    </w:p>
    <w:p>
      <w:pPr>
        <w:spacing w:before="156" w:beforeLines="50" w:after="156" w:afterLines="50" w:line="360" w:lineRule="auto"/>
        <w:ind w:firstLine="880"/>
        <w:jc w:val="center"/>
        <w:rPr>
          <w:rFonts w:ascii="宋体" w:hAnsi="宋体"/>
          <w:b/>
          <w:bCs/>
          <w:sz w:val="44"/>
          <w:szCs w:val="44"/>
        </w:rPr>
        <w:sectPr>
          <w:headerReference r:id="rId5" w:type="first"/>
          <w:headerReference r:id="rId3" w:type="default"/>
          <w:headerReference r:id="rId4" w:type="even"/>
          <w:pgSz w:w="23814" w:h="16839" w:orient="landscape"/>
          <w:pgMar w:top="1797" w:right="873" w:bottom="1797" w:left="2007" w:header="612" w:footer="850" w:gutter="0"/>
          <w:pgNumType w:start="1"/>
          <w:cols w:space="425" w:num="1"/>
          <w:docGrid w:type="linesAndChars" w:linePitch="312" w:charSpace="0"/>
        </w:sectPr>
      </w:pP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工程概况</w:t>
      </w:r>
    </w:p>
    <w:p>
      <w:pPr>
        <w:spacing w:line="360" w:lineRule="auto"/>
        <w:outlineLvl w:val="1"/>
        <w:rPr>
          <w:rFonts w:ascii="宋体" w:hAnsi="宋体"/>
          <w:b/>
          <w:bCs/>
          <w:sz w:val="32"/>
          <w:szCs w:val="32"/>
        </w:rPr>
      </w:pPr>
      <w:r>
        <w:rPr>
          <w:rFonts w:hint="eastAsia" w:ascii="宋体" w:hAnsi="宋体"/>
          <w:b/>
          <w:bCs/>
          <w:sz w:val="24"/>
        </w:rPr>
        <w:t>1.1项目背景及区位</w:t>
      </w:r>
    </w:p>
    <w:p>
      <w:pPr>
        <w:spacing w:line="360" w:lineRule="auto"/>
        <w:ind w:firstLine="480" w:firstLineChars="200"/>
        <w:rPr>
          <w:rFonts w:ascii="宋体" w:hAnsi="宋体"/>
          <w:sz w:val="24"/>
        </w:rPr>
      </w:pPr>
      <w:r>
        <w:rPr>
          <w:rFonts w:hint="eastAsia" w:ascii="宋体" w:hAnsi="宋体"/>
          <w:sz w:val="24"/>
        </w:rPr>
        <w:t>项目</w:t>
      </w:r>
      <w:r>
        <w:rPr>
          <w:rFonts w:ascii="宋体" w:hAnsi="宋体"/>
          <w:sz w:val="24"/>
        </w:rPr>
        <w:t>位于</w:t>
      </w:r>
      <w:r>
        <w:rPr>
          <w:rFonts w:hint="eastAsia" w:ascii="宋体" w:hAnsi="宋体"/>
          <w:sz w:val="24"/>
        </w:rPr>
        <w:t>黔江区正舟路，重庆黔江民族医院区域道路；涉及正舟路沿线、正舟路/正阳隧道交叉口；正舟路民族医院路段：行人无序横穿，车辆随意变道、掉头易引发交通事故，该路段年均发生30余起事故。</w:t>
      </w:r>
    </w:p>
    <w:p>
      <w:pPr>
        <w:spacing w:line="360" w:lineRule="auto"/>
        <w:ind w:firstLine="480" w:firstLineChars="200"/>
        <w:rPr>
          <w:rFonts w:ascii="宋体" w:hAnsi="宋体"/>
          <w:sz w:val="24"/>
        </w:rPr>
      </w:pPr>
      <w:r>
        <w:rPr>
          <w:rFonts w:hint="eastAsia" w:ascii="宋体" w:hAnsi="宋体"/>
          <w:sz w:val="24"/>
        </w:rPr>
        <w:t>本项目</w:t>
      </w:r>
      <w:r>
        <w:rPr>
          <w:rFonts w:ascii="宋体" w:hAnsi="宋体"/>
          <w:sz w:val="24"/>
        </w:rPr>
        <w:t>为</w:t>
      </w:r>
      <w:r>
        <w:rPr>
          <w:rFonts w:hint="eastAsia" w:ascii="宋体" w:hAnsi="宋体"/>
          <w:sz w:val="24"/>
        </w:rPr>
        <w:t>减少</w:t>
      </w:r>
      <w:r>
        <w:rPr>
          <w:rFonts w:ascii="宋体" w:hAnsi="宋体"/>
          <w:sz w:val="24"/>
        </w:rPr>
        <w:t>道路</w:t>
      </w:r>
      <w:r>
        <w:rPr>
          <w:rFonts w:hint="eastAsia" w:ascii="宋体" w:hAnsi="宋体"/>
          <w:sz w:val="24"/>
        </w:rPr>
        <w:t>交通</w:t>
      </w:r>
      <w:r>
        <w:rPr>
          <w:rFonts w:ascii="宋体" w:hAnsi="宋体"/>
          <w:sz w:val="24"/>
        </w:rPr>
        <w:t>安全隐患，提升沿线交通便捷</w:t>
      </w:r>
      <w:r>
        <w:rPr>
          <w:rFonts w:hint="eastAsia" w:ascii="宋体" w:hAnsi="宋体"/>
          <w:sz w:val="24"/>
        </w:rPr>
        <w:t>、</w:t>
      </w:r>
      <w:r>
        <w:rPr>
          <w:rFonts w:ascii="宋体" w:hAnsi="宋体"/>
          <w:sz w:val="24"/>
        </w:rPr>
        <w:t>畅通。</w:t>
      </w:r>
    </w:p>
    <w:p>
      <w:pPr>
        <w:spacing w:line="360" w:lineRule="auto"/>
        <w:ind w:firstLine="480" w:firstLineChars="200"/>
        <w:rPr>
          <w:rFonts w:ascii="宋体" w:hAnsi="宋体"/>
          <w:color w:val="FF0000"/>
          <w:sz w:val="24"/>
        </w:rPr>
      </w:pPr>
      <w:r>
        <w:rPr>
          <w:rFonts w:hint="eastAsia" w:ascii="宋体" w:hAnsi="宋体"/>
          <w:color w:val="FF0000"/>
          <w:sz w:val="24"/>
        </w:rPr>
        <w:t xml:space="preserve">            </w:t>
      </w:r>
      <w:r>
        <w:rPr>
          <w:rFonts w:ascii="宋体" w:hAnsi="宋体"/>
          <w:color w:val="FF0000"/>
          <w:sz w:val="24"/>
        </w:rPr>
        <w:drawing>
          <wp:inline distT="0" distB="0" distL="0" distR="0">
            <wp:extent cx="3284220" cy="32842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285689" cy="3285689"/>
                    </a:xfrm>
                    <a:prstGeom prst="rect">
                      <a:avLst/>
                    </a:prstGeom>
                    <a:noFill/>
                  </pic:spPr>
                </pic:pic>
              </a:graphicData>
            </a:graphic>
          </wp:inline>
        </w:drawing>
      </w:r>
    </w:p>
    <w:p>
      <w:pPr>
        <w:pStyle w:val="50"/>
      </w:pPr>
      <w:r>
        <w:rPr>
          <w:rFonts w:hint="eastAsia"/>
        </w:rPr>
        <w:t>图1  项目区位图</w:t>
      </w:r>
    </w:p>
    <w:p>
      <w:pPr>
        <w:spacing w:line="360" w:lineRule="auto"/>
        <w:outlineLvl w:val="1"/>
        <w:rPr>
          <w:rFonts w:ascii="宋体" w:hAnsi="宋体"/>
          <w:b/>
          <w:bCs/>
          <w:sz w:val="24"/>
        </w:rPr>
      </w:pPr>
      <w:r>
        <w:rPr>
          <w:rFonts w:hint="eastAsia" w:ascii="宋体" w:hAnsi="宋体"/>
          <w:b/>
          <w:bCs/>
          <w:sz w:val="24"/>
        </w:rPr>
        <w:t>1.</w:t>
      </w:r>
      <w:r>
        <w:rPr>
          <w:rFonts w:ascii="宋体" w:hAnsi="宋体"/>
          <w:b/>
          <w:bCs/>
          <w:sz w:val="24"/>
        </w:rPr>
        <w:t>2</w:t>
      </w:r>
      <w:r>
        <w:rPr>
          <w:rFonts w:hint="eastAsia" w:ascii="宋体" w:hAnsi="宋体"/>
          <w:b/>
          <w:bCs/>
          <w:sz w:val="24"/>
        </w:rPr>
        <w:t>设计内容</w:t>
      </w:r>
    </w:p>
    <w:p>
      <w:pPr>
        <w:spacing w:line="360" w:lineRule="auto"/>
        <w:ind w:firstLine="480" w:firstLineChars="200"/>
        <w:rPr>
          <w:rFonts w:ascii="宋体" w:hAnsi="宋体"/>
          <w:sz w:val="24"/>
        </w:rPr>
      </w:pPr>
      <w:r>
        <w:rPr>
          <w:rFonts w:hint="eastAsia" w:ascii="宋体" w:hAnsi="宋体"/>
          <w:sz w:val="24"/>
        </w:rPr>
        <w:t>本次交通工程的设计内容主要包括：</w:t>
      </w:r>
    </w:p>
    <w:p>
      <w:pPr>
        <w:spacing w:line="360" w:lineRule="auto"/>
        <w:ind w:firstLine="480" w:firstLineChars="200"/>
        <w:rPr>
          <w:rFonts w:ascii="宋体" w:hAnsi="宋体"/>
          <w:sz w:val="24"/>
        </w:rPr>
      </w:pPr>
      <w:r>
        <w:rPr>
          <w:rFonts w:hint="eastAsia" w:ascii="宋体" w:hAnsi="宋体"/>
          <w:sz w:val="24"/>
        </w:rPr>
        <w:t>（1）交通标志标线设计；</w:t>
      </w:r>
    </w:p>
    <w:p>
      <w:pPr>
        <w:spacing w:line="360" w:lineRule="auto"/>
        <w:ind w:firstLine="480" w:firstLineChars="200"/>
        <w:rPr>
          <w:rFonts w:ascii="宋体" w:hAnsi="宋体"/>
          <w:sz w:val="24"/>
        </w:rPr>
      </w:pPr>
      <w:r>
        <w:rPr>
          <w:rFonts w:hint="eastAsia" w:ascii="宋体" w:hAnsi="宋体"/>
          <w:sz w:val="24"/>
        </w:rPr>
        <w:t>（2）交通安全设施设计；</w:t>
      </w:r>
    </w:p>
    <w:p>
      <w:pPr>
        <w:spacing w:line="360" w:lineRule="auto"/>
        <w:ind w:firstLine="480" w:firstLineChars="200"/>
        <w:rPr>
          <w:rFonts w:ascii="宋体" w:hAnsi="宋体"/>
          <w:sz w:val="24"/>
        </w:rPr>
      </w:pPr>
      <w:r>
        <w:rPr>
          <w:rFonts w:hint="eastAsia" w:ascii="宋体" w:hAnsi="宋体"/>
          <w:sz w:val="24"/>
        </w:rPr>
        <w:t>（3）抗滑薄层设计；</w:t>
      </w:r>
    </w:p>
    <w:p>
      <w:pPr>
        <w:spacing w:line="360" w:lineRule="auto"/>
        <w:ind w:firstLine="480" w:firstLineChars="200"/>
        <w:rPr>
          <w:rFonts w:ascii="宋体" w:hAnsi="宋体"/>
          <w:sz w:val="24"/>
        </w:rPr>
      </w:pPr>
      <w:r>
        <w:rPr>
          <w:rFonts w:hint="eastAsia" w:ascii="宋体" w:hAnsi="宋体"/>
          <w:sz w:val="24"/>
        </w:rPr>
        <w:t>（4）信号灯设施设计；</w:t>
      </w:r>
    </w:p>
    <w:p>
      <w:pPr>
        <w:spacing w:line="360" w:lineRule="auto"/>
        <w:ind w:firstLine="480" w:firstLineChars="200"/>
        <w:rPr>
          <w:rFonts w:ascii="宋体" w:hAnsi="宋体"/>
          <w:sz w:val="24"/>
        </w:rPr>
      </w:pPr>
      <w:r>
        <w:rPr>
          <w:rFonts w:hint="eastAsia" w:ascii="宋体" w:hAnsi="宋体"/>
          <w:sz w:val="24"/>
        </w:rPr>
        <w:t>（5）电子警察设施设计；</w:t>
      </w:r>
    </w:p>
    <w:p>
      <w:pPr>
        <w:spacing w:line="360" w:lineRule="auto"/>
        <w:outlineLvl w:val="1"/>
        <w:rPr>
          <w:rFonts w:ascii="宋体" w:hAnsi="宋体"/>
          <w:b/>
          <w:bCs/>
          <w:sz w:val="24"/>
        </w:rPr>
      </w:pPr>
      <w:r>
        <w:rPr>
          <w:rFonts w:hint="eastAsia" w:ascii="宋体" w:hAnsi="宋体"/>
          <w:b/>
          <w:bCs/>
          <w:sz w:val="24"/>
        </w:rPr>
        <w:t>1.</w:t>
      </w:r>
      <w:r>
        <w:rPr>
          <w:rFonts w:ascii="宋体" w:hAnsi="宋体"/>
          <w:b/>
          <w:bCs/>
          <w:sz w:val="24"/>
        </w:rPr>
        <w:t>3</w:t>
      </w:r>
      <w:r>
        <w:rPr>
          <w:rFonts w:hint="eastAsia" w:ascii="宋体" w:hAnsi="宋体"/>
          <w:b/>
          <w:bCs/>
          <w:sz w:val="24"/>
        </w:rPr>
        <w:t>设计依据、规范及技术标准</w:t>
      </w:r>
    </w:p>
    <w:p>
      <w:pPr>
        <w:spacing w:line="360" w:lineRule="auto"/>
        <w:ind w:firstLine="480" w:firstLineChars="200"/>
        <w:outlineLvl w:val="2"/>
        <w:rPr>
          <w:rFonts w:ascii="宋体" w:hAnsi="宋体"/>
          <w:b/>
          <w:bCs/>
          <w:sz w:val="24"/>
        </w:rPr>
      </w:pPr>
      <w:r>
        <w:rPr>
          <w:rFonts w:hint="eastAsia" w:ascii="宋体" w:hAnsi="宋体"/>
          <w:b/>
          <w:bCs/>
          <w:sz w:val="24"/>
        </w:rPr>
        <w:t>1.</w:t>
      </w:r>
      <w:r>
        <w:rPr>
          <w:rFonts w:ascii="宋体" w:hAnsi="宋体"/>
          <w:b/>
          <w:bCs/>
          <w:sz w:val="24"/>
        </w:rPr>
        <w:t>3</w:t>
      </w:r>
      <w:r>
        <w:rPr>
          <w:rFonts w:hint="eastAsia" w:ascii="宋体" w:hAnsi="宋体"/>
          <w:b/>
          <w:bCs/>
          <w:sz w:val="24"/>
        </w:rPr>
        <w:t>.1设计依据</w:t>
      </w:r>
    </w:p>
    <w:p>
      <w:pPr>
        <w:pStyle w:val="39"/>
        <w:numPr>
          <w:ilvl w:val="0"/>
          <w:numId w:val="3"/>
        </w:numPr>
        <w:spacing w:line="360" w:lineRule="auto"/>
        <w:ind w:firstLineChars="0"/>
        <w:rPr>
          <w:rFonts w:ascii="宋体" w:hAnsi="宋体"/>
          <w:sz w:val="24"/>
        </w:rPr>
      </w:pPr>
      <w:r>
        <w:rPr>
          <w:rFonts w:hint="eastAsia" w:ascii="宋体" w:hAnsi="宋体"/>
          <w:sz w:val="24"/>
        </w:rPr>
        <w:t>业主提供设计条件</w:t>
      </w:r>
    </w:p>
    <w:p>
      <w:pPr>
        <w:pStyle w:val="39"/>
        <w:numPr>
          <w:ilvl w:val="0"/>
          <w:numId w:val="3"/>
        </w:numPr>
        <w:spacing w:line="360" w:lineRule="auto"/>
        <w:ind w:firstLineChars="0"/>
        <w:rPr>
          <w:rFonts w:ascii="宋体" w:hAnsi="宋体"/>
          <w:sz w:val="24"/>
        </w:rPr>
      </w:pPr>
      <w:r>
        <w:rPr>
          <w:rFonts w:hint="eastAsia" w:ascii="宋体" w:hAnsi="宋体"/>
          <w:sz w:val="24"/>
        </w:rPr>
        <w:t>与业主签订的项目设计合同</w:t>
      </w:r>
    </w:p>
    <w:p>
      <w:pPr>
        <w:pStyle w:val="39"/>
        <w:numPr>
          <w:ilvl w:val="0"/>
          <w:numId w:val="3"/>
        </w:numPr>
        <w:spacing w:line="360" w:lineRule="auto"/>
        <w:ind w:firstLineChars="0"/>
        <w:rPr>
          <w:rFonts w:ascii="宋体" w:hAnsi="宋体"/>
          <w:sz w:val="24"/>
        </w:rPr>
      </w:pPr>
      <w:r>
        <w:rPr>
          <w:rFonts w:hint="eastAsia" w:ascii="宋体" w:hAnsi="宋体"/>
          <w:sz w:val="24"/>
        </w:rPr>
        <w:t>与本项目有关的其它相关资料</w:t>
      </w:r>
    </w:p>
    <w:p>
      <w:pPr>
        <w:spacing w:line="360" w:lineRule="auto"/>
        <w:ind w:firstLine="480" w:firstLineChars="200"/>
        <w:outlineLvl w:val="2"/>
        <w:rPr>
          <w:rFonts w:ascii="宋体" w:hAnsi="宋体"/>
          <w:b/>
          <w:bCs/>
          <w:sz w:val="24"/>
        </w:rPr>
      </w:pPr>
      <w:r>
        <w:rPr>
          <w:rFonts w:hint="eastAsia" w:ascii="宋体" w:hAnsi="宋体"/>
          <w:b/>
          <w:bCs/>
          <w:sz w:val="24"/>
        </w:rPr>
        <w:t>1.</w:t>
      </w:r>
      <w:r>
        <w:rPr>
          <w:rFonts w:ascii="宋体" w:hAnsi="宋体"/>
          <w:b/>
          <w:bCs/>
          <w:sz w:val="24"/>
        </w:rPr>
        <w:t>3</w:t>
      </w:r>
      <w:r>
        <w:rPr>
          <w:rFonts w:hint="eastAsia" w:ascii="宋体" w:hAnsi="宋体"/>
          <w:b/>
          <w:bCs/>
          <w:sz w:val="24"/>
        </w:rPr>
        <w:t>.2规范及技术标准</w:t>
      </w:r>
    </w:p>
    <w:p>
      <w:pPr>
        <w:pStyle w:val="39"/>
        <w:numPr>
          <w:ilvl w:val="0"/>
          <w:numId w:val="4"/>
        </w:numPr>
        <w:tabs>
          <w:tab w:val="left" w:pos="840"/>
        </w:tabs>
        <w:spacing w:line="360" w:lineRule="auto"/>
        <w:ind w:firstLineChars="0"/>
        <w:rPr>
          <w:rFonts w:ascii="宋体" w:hAnsi="宋体"/>
          <w:sz w:val="24"/>
        </w:rPr>
      </w:pPr>
      <w:bookmarkStart w:id="2" w:name="_Hlk18415317"/>
      <w:r>
        <w:rPr>
          <w:rFonts w:hint="eastAsia" w:ascii="宋体" w:hAnsi="宋体"/>
          <w:sz w:val="24"/>
        </w:rPr>
        <w:t>《中华人民共和国道路交通安全法》</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《道路交通标志和标线》（</w:t>
      </w:r>
      <w:r>
        <w:rPr>
          <w:rFonts w:ascii="宋体" w:hAnsi="宋体"/>
          <w:sz w:val="24"/>
        </w:rPr>
        <w:t>GB 5768-2009，2017</w:t>
      </w:r>
      <w:r>
        <w:rPr>
          <w:rFonts w:hint="eastAsia" w:ascii="宋体" w:hAnsi="宋体"/>
          <w:sz w:val="24"/>
        </w:rPr>
        <w:t>，2018，2022）</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《城市道路交通标志和标线设置规范》（</w:t>
      </w:r>
      <w:r>
        <w:rPr>
          <w:rFonts w:ascii="宋体" w:hAnsi="宋体"/>
          <w:sz w:val="24"/>
        </w:rPr>
        <w:t>GB 51038-2015）</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《道路交通标志板及支撑件</w:t>
      </w:r>
      <w:bookmarkStart w:id="3" w:name="1"/>
      <w:bookmarkEnd w:id="3"/>
      <w:r>
        <w:rPr>
          <w:rFonts w:hint="eastAsia" w:ascii="宋体" w:hAnsi="宋体"/>
          <w:sz w:val="24"/>
        </w:rPr>
        <w:t>》（GB/T 23827-2021）</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《道路交通反光膜》(GB/T 18833-2012)</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《城市道路交通设施设计规范（2019版）》(GB 50688-2011)</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w:t>
      </w:r>
      <w:r>
        <w:rPr>
          <w:rFonts w:ascii="宋体" w:hAnsi="宋体"/>
          <w:sz w:val="24"/>
        </w:rPr>
        <w:t>钢结构用高强度大六角头螺栓</w:t>
      </w:r>
      <w:r>
        <w:rPr>
          <w:rFonts w:hint="eastAsia" w:ascii="宋体" w:hAnsi="宋体"/>
          <w:sz w:val="24"/>
        </w:rPr>
        <w:t>连接副》（</w:t>
      </w:r>
      <w:r>
        <w:rPr>
          <w:rFonts w:ascii="宋体" w:hAnsi="宋体"/>
          <w:sz w:val="24"/>
        </w:rPr>
        <w:t>GB/T</w:t>
      </w:r>
      <w:r>
        <w:rPr>
          <w:rFonts w:hint="eastAsia" w:ascii="宋体" w:hAnsi="宋体"/>
          <w:sz w:val="24"/>
        </w:rPr>
        <w:t xml:space="preserve"> </w:t>
      </w:r>
      <w:r>
        <w:rPr>
          <w:rFonts w:ascii="宋体" w:hAnsi="宋体"/>
          <w:sz w:val="24"/>
        </w:rPr>
        <w:t>1231-20</w:t>
      </w:r>
      <w:r>
        <w:rPr>
          <w:rFonts w:hint="eastAsia" w:ascii="宋体" w:hAnsi="宋体"/>
          <w:sz w:val="24"/>
        </w:rPr>
        <w:t>24）</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《碳素结构钢》(GB/T 700-2006)</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《结构用无缝钢管》（GB/T 8162-2018）</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《公路交通工程钢构件防腐技术条件》（GB/T 18226-2015）</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《城市道路交通管理设施设置规范》（DB 50/T 548-2024）</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《混凝土结构工程施工质量验收规范》（GB 50204-2015）</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《城市道路指路系统信息设计导则》（</w:t>
      </w:r>
      <w:r>
        <w:rPr>
          <w:rFonts w:ascii="宋体" w:hAnsi="宋体"/>
          <w:sz w:val="24"/>
        </w:rPr>
        <w:t>DB 50/T 897—2018</w:t>
      </w:r>
      <w:r>
        <w:rPr>
          <w:rFonts w:hint="eastAsia" w:ascii="宋体" w:hAnsi="宋体"/>
          <w:sz w:val="24"/>
        </w:rPr>
        <w:t>）</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《道路交通信号灯》（GB 14887-2011）</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《道路交通信号控制机》（GB 25280-2016）</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《道路交通信号灯设置与安装规范》（GB 14886-2016）</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《闯红灯自动记录系统通用技术条件》（GA/T 496-2014）</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《视觉信号表面色》（GB/T 8416-2003）</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《道路交通信号倒计时显示器》（</w:t>
      </w:r>
      <w:r>
        <w:rPr>
          <w:rFonts w:ascii="宋体" w:hAnsi="宋体"/>
          <w:sz w:val="24"/>
        </w:rPr>
        <w:t>GA/T 508-20</w:t>
      </w:r>
      <w:r>
        <w:rPr>
          <w:rFonts w:hint="eastAsia" w:ascii="宋体" w:hAnsi="宋体"/>
          <w:sz w:val="24"/>
        </w:rPr>
        <w:t>1</w:t>
      </w:r>
      <w:r>
        <w:rPr>
          <w:rFonts w:ascii="宋体" w:hAnsi="宋体"/>
          <w:sz w:val="24"/>
        </w:rPr>
        <w:t>4</w:t>
      </w:r>
      <w:r>
        <w:rPr>
          <w:rFonts w:hint="eastAsia" w:ascii="宋体" w:hAnsi="宋体"/>
          <w:sz w:val="24"/>
        </w:rPr>
        <w:t>）</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《道路车辆智能监测记录系统通用技术条件》（</w:t>
      </w:r>
      <w:r>
        <w:rPr>
          <w:rFonts w:ascii="宋体" w:hAnsi="宋体"/>
          <w:sz w:val="24"/>
        </w:rPr>
        <w:t>GA/T 497-20</w:t>
      </w:r>
      <w:r>
        <w:rPr>
          <w:rFonts w:hint="eastAsia" w:ascii="宋体" w:hAnsi="宋体"/>
          <w:sz w:val="24"/>
        </w:rPr>
        <w:t>16）</w:t>
      </w:r>
    </w:p>
    <w:p>
      <w:pPr>
        <w:pStyle w:val="35"/>
        <w:numPr>
          <w:ilvl w:val="0"/>
          <w:numId w:val="4"/>
        </w:numPr>
        <w:tabs>
          <w:tab w:val="left" w:pos="840"/>
        </w:tabs>
        <w:spacing w:line="360" w:lineRule="auto"/>
        <w:ind w:firstLineChars="0"/>
        <w:rPr>
          <w:rFonts w:ascii="宋体" w:hAnsi="宋体" w:cs="宋体"/>
          <w:sz w:val="24"/>
        </w:rPr>
      </w:pPr>
      <w:r>
        <w:rPr>
          <w:rFonts w:hint="eastAsia" w:ascii="宋体" w:hAnsi="宋体" w:cs="宋体"/>
          <w:sz w:val="24"/>
        </w:rPr>
        <w:t>《公安交通指挥系统建设技术规范》(GA/T 445-2010)</w:t>
      </w:r>
    </w:p>
    <w:p>
      <w:pPr>
        <w:pStyle w:val="35"/>
        <w:numPr>
          <w:ilvl w:val="0"/>
          <w:numId w:val="4"/>
        </w:numPr>
        <w:tabs>
          <w:tab w:val="left" w:pos="840"/>
        </w:tabs>
        <w:spacing w:line="360" w:lineRule="auto"/>
        <w:ind w:firstLineChars="0"/>
        <w:rPr>
          <w:rFonts w:ascii="宋体" w:hAnsi="宋体" w:cs="宋体"/>
          <w:sz w:val="24"/>
        </w:rPr>
      </w:pPr>
      <w:r>
        <w:rPr>
          <w:rFonts w:hint="eastAsia"/>
          <w:sz w:val="24"/>
        </w:rPr>
        <w:t>《重庆市公共安全视频图像信息系统标识杆件机箱技术规范》（通知〔2018〕46 号）</w:t>
      </w:r>
    </w:p>
    <w:p>
      <w:pPr>
        <w:pStyle w:val="39"/>
        <w:numPr>
          <w:ilvl w:val="0"/>
          <w:numId w:val="4"/>
        </w:numPr>
        <w:tabs>
          <w:tab w:val="left" w:pos="840"/>
        </w:tabs>
        <w:spacing w:line="360" w:lineRule="auto"/>
        <w:ind w:firstLineChars="0"/>
        <w:rPr>
          <w:rFonts w:ascii="宋体" w:hAnsi="宋体"/>
          <w:sz w:val="24"/>
        </w:rPr>
      </w:pPr>
      <w:r>
        <w:rPr>
          <w:rFonts w:hint="eastAsia" w:ascii="宋体" w:hAnsi="宋体"/>
          <w:sz w:val="24"/>
        </w:rPr>
        <w:t>国家及重庆市现行其他有关标准、规范、规程与规定</w:t>
      </w:r>
      <w:bookmarkEnd w:id="1"/>
      <w:bookmarkEnd w:id="2"/>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交通标线设计</w:t>
      </w:r>
    </w:p>
    <w:p>
      <w:pPr>
        <w:spacing w:line="360" w:lineRule="auto"/>
        <w:ind w:firstLine="482"/>
        <w:rPr>
          <w:rFonts w:ascii="宋体" w:hAnsi="宋体"/>
          <w:sz w:val="24"/>
        </w:rPr>
      </w:pPr>
      <w:r>
        <w:rPr>
          <w:rFonts w:hint="eastAsia"/>
          <w:sz w:val="24"/>
        </w:rPr>
        <w:t>本次道路标线主要根据最新的国标《道路交通标志和标线》（GB5768）和《城市道路交通标志和标线设置规范》（GB 51038）和重庆市地方规范等相关要求进行设计。</w:t>
      </w:r>
    </w:p>
    <w:p>
      <w:pPr>
        <w:spacing w:line="360" w:lineRule="auto"/>
        <w:outlineLvl w:val="1"/>
        <w:rPr>
          <w:rFonts w:ascii="宋体" w:hAnsi="宋体"/>
          <w:b/>
          <w:bCs/>
          <w:sz w:val="24"/>
        </w:rPr>
      </w:pPr>
      <w:r>
        <w:rPr>
          <w:rFonts w:hint="eastAsia" w:ascii="宋体" w:hAnsi="宋体"/>
          <w:b/>
          <w:bCs/>
          <w:sz w:val="24"/>
        </w:rPr>
        <w:t>2.1交通标线布设方法</w:t>
      </w:r>
    </w:p>
    <w:p>
      <w:pPr>
        <w:numPr>
          <w:ilvl w:val="0"/>
          <w:numId w:val="3"/>
        </w:numPr>
        <w:spacing w:line="360" w:lineRule="auto"/>
        <w:rPr>
          <w:color w:val="000000"/>
          <w:sz w:val="24"/>
        </w:rPr>
      </w:pPr>
      <w:bookmarkStart w:id="4" w:name="_Hlk18415482"/>
      <w:r>
        <w:rPr>
          <w:rFonts w:hint="eastAsia"/>
          <w:color w:val="000000"/>
          <w:sz w:val="24"/>
        </w:rPr>
        <w:t>在机动车道路两侧路缘带内侧设置车道边缘线，车道边缘线为白色线，宽为15cm。</w:t>
      </w:r>
    </w:p>
    <w:p>
      <w:pPr>
        <w:numPr>
          <w:ilvl w:val="0"/>
          <w:numId w:val="3"/>
        </w:numPr>
        <w:spacing w:line="360" w:lineRule="auto"/>
        <w:ind w:right="23" w:rightChars="11"/>
        <w:rPr>
          <w:rFonts w:ascii="宋体" w:hAnsi="宋体"/>
          <w:sz w:val="24"/>
        </w:rPr>
      </w:pPr>
      <w:r>
        <w:rPr>
          <w:rFonts w:hint="eastAsia" w:ascii="宋体" w:hAnsi="宋体"/>
          <w:sz w:val="24"/>
        </w:rPr>
        <w:t>导向车道线设置在禁止车辆变换车道和借道超车的地点,为白色实线，线宽15cm；</w:t>
      </w:r>
    </w:p>
    <w:p>
      <w:pPr>
        <w:numPr>
          <w:ilvl w:val="0"/>
          <w:numId w:val="3"/>
        </w:numPr>
        <w:spacing w:line="360" w:lineRule="auto"/>
        <w:ind w:right="23" w:rightChars="11"/>
      </w:pPr>
      <w:r>
        <w:rPr>
          <w:rFonts w:hint="eastAsia" w:ascii="宋体" w:hAnsi="宋体" w:cs="宋体"/>
          <w:sz w:val="24"/>
        </w:rPr>
        <w:t>不</w:t>
      </w:r>
      <w:r>
        <w:rPr>
          <w:rFonts w:hint="eastAsia" w:ascii="宋体" w:hAnsi="宋体"/>
          <w:sz w:val="24"/>
        </w:rPr>
        <w:t>可跨越对向车行道分界线为黄色实线，线宽为15c</w:t>
      </w:r>
      <w:r>
        <w:rPr>
          <w:rFonts w:ascii="宋体" w:hAnsi="宋体"/>
          <w:sz w:val="24"/>
        </w:rPr>
        <w:t>m</w:t>
      </w:r>
      <w:r>
        <w:rPr>
          <w:rFonts w:hint="eastAsia" w:ascii="宋体" w:hAnsi="宋体"/>
          <w:sz w:val="24"/>
        </w:rPr>
        <w:t>。</w:t>
      </w:r>
    </w:p>
    <w:p>
      <w:pPr>
        <w:numPr>
          <w:ilvl w:val="0"/>
          <w:numId w:val="3"/>
        </w:numPr>
        <w:spacing w:line="360" w:lineRule="auto"/>
        <w:ind w:right="23" w:rightChars="11"/>
        <w:rPr>
          <w:rFonts w:ascii="宋体" w:hAnsi="宋体"/>
          <w:sz w:val="24"/>
        </w:rPr>
      </w:pPr>
      <w:r>
        <w:rPr>
          <w:rFonts w:hint="eastAsia" w:ascii="宋体" w:hAnsi="宋体"/>
          <w:sz w:val="24"/>
        </w:rPr>
        <w:t>可跨越对向车行道分界线采用黄色虚线，线长4m,间距6m,线宽均为15cm；</w:t>
      </w:r>
    </w:p>
    <w:p>
      <w:pPr>
        <w:numPr>
          <w:ilvl w:val="0"/>
          <w:numId w:val="3"/>
        </w:numPr>
        <w:spacing w:line="360" w:lineRule="auto"/>
        <w:ind w:right="23" w:rightChars="11"/>
        <w:rPr>
          <w:rFonts w:ascii="宋体" w:hAnsi="宋体"/>
          <w:sz w:val="24"/>
        </w:rPr>
      </w:pPr>
      <w:r>
        <w:rPr>
          <w:rFonts w:hint="eastAsia" w:ascii="宋体" w:hAnsi="宋体"/>
          <w:sz w:val="24"/>
        </w:rPr>
        <w:t>可跨越同向车行道分界线</w:t>
      </w:r>
      <w:r>
        <w:rPr>
          <w:rFonts w:hint="eastAsia" w:ascii="宋体" w:hAnsi="宋体"/>
          <w:sz w:val="24"/>
          <w:szCs w:val="28"/>
        </w:rPr>
        <w:t>采用白色虚线，存在两种类型，一种为</w:t>
      </w:r>
      <w:r>
        <w:rPr>
          <w:rFonts w:hint="eastAsia" w:ascii="宋体" w:hAnsi="宋体"/>
          <w:sz w:val="24"/>
        </w:rPr>
        <w:t>线长2m,间距4m，线宽为15cm；另</w:t>
      </w:r>
      <w:r>
        <w:rPr>
          <w:rFonts w:hint="eastAsia" w:ascii="宋体" w:hAnsi="宋体"/>
          <w:sz w:val="24"/>
          <w:szCs w:val="28"/>
        </w:rPr>
        <w:t>一种为</w:t>
      </w:r>
      <w:r>
        <w:rPr>
          <w:rFonts w:hint="eastAsia" w:ascii="宋体" w:hAnsi="宋体"/>
          <w:sz w:val="24"/>
        </w:rPr>
        <w:t>线长6m,间距9m，线宽为15cm。</w:t>
      </w:r>
    </w:p>
    <w:p>
      <w:pPr>
        <w:numPr>
          <w:ilvl w:val="0"/>
          <w:numId w:val="3"/>
        </w:numPr>
        <w:spacing w:line="360" w:lineRule="auto"/>
        <w:ind w:right="23" w:rightChars="11"/>
        <w:rPr>
          <w:rFonts w:ascii="宋体" w:hAnsi="宋体"/>
          <w:sz w:val="24"/>
        </w:rPr>
      </w:pPr>
      <w:r>
        <w:rPr>
          <w:rFonts w:hint="eastAsia" w:ascii="宋体" w:hAnsi="宋体"/>
          <w:sz w:val="24"/>
        </w:rPr>
        <w:t>在需要诱导车辆前的合适位置设置地面导向箭头（白色），箭头尺寸长均为6m（若有不确定之处，须与设计及时沟通）；</w:t>
      </w:r>
    </w:p>
    <w:p>
      <w:pPr>
        <w:numPr>
          <w:ilvl w:val="0"/>
          <w:numId w:val="3"/>
        </w:numPr>
        <w:spacing w:line="360" w:lineRule="auto"/>
        <w:ind w:right="23" w:rightChars="11"/>
        <w:rPr>
          <w:rFonts w:ascii="宋体" w:hAnsi="宋体"/>
          <w:sz w:val="24"/>
        </w:rPr>
      </w:pPr>
      <w:r>
        <w:rPr>
          <w:rFonts w:hint="eastAsia" w:ascii="宋体" w:hAnsi="宋体"/>
          <w:sz w:val="24"/>
        </w:rPr>
        <w:t>斜线（白色）填充时，斜线倾斜角度为45</w:t>
      </w:r>
      <w:r>
        <w:rPr>
          <w:sz w:val="24"/>
        </w:rPr>
        <w:t>°</w:t>
      </w:r>
      <w:r>
        <w:rPr>
          <w:rFonts w:hint="eastAsia" w:ascii="宋体" w:hAnsi="宋体"/>
          <w:sz w:val="24"/>
        </w:rPr>
        <w:t>，间隔为1m，线宽45cm；</w:t>
      </w:r>
    </w:p>
    <w:p>
      <w:pPr>
        <w:numPr>
          <w:ilvl w:val="0"/>
          <w:numId w:val="3"/>
        </w:numPr>
        <w:spacing w:line="360" w:lineRule="auto"/>
        <w:ind w:right="23" w:rightChars="11"/>
        <w:rPr>
          <w:rFonts w:ascii="宋体" w:hAnsi="宋体"/>
          <w:sz w:val="24"/>
        </w:rPr>
      </w:pPr>
      <w:r>
        <w:rPr>
          <w:rFonts w:hint="eastAsia" w:ascii="宋体" w:hAnsi="宋体"/>
          <w:sz w:val="24"/>
        </w:rPr>
        <w:t>停车位标线（白色），线宽为10cm；</w:t>
      </w:r>
    </w:p>
    <w:p>
      <w:pPr>
        <w:numPr>
          <w:ilvl w:val="0"/>
          <w:numId w:val="3"/>
        </w:numPr>
        <w:spacing w:line="360" w:lineRule="auto"/>
        <w:ind w:right="23" w:rightChars="11"/>
        <w:rPr>
          <w:rFonts w:ascii="宋体" w:hAnsi="宋体"/>
          <w:sz w:val="24"/>
        </w:rPr>
      </w:pPr>
      <w:r>
        <w:rPr>
          <w:rFonts w:hint="eastAsia" w:ascii="宋体" w:hAnsi="宋体"/>
          <w:sz w:val="24"/>
        </w:rPr>
        <w:t>人行横道线宽（白色）40cm，间隔60cm；</w:t>
      </w:r>
    </w:p>
    <w:p>
      <w:pPr>
        <w:numPr>
          <w:ilvl w:val="0"/>
          <w:numId w:val="3"/>
        </w:numPr>
        <w:spacing w:line="360" w:lineRule="auto"/>
        <w:ind w:right="23" w:rightChars="11"/>
        <w:rPr>
          <w:rFonts w:ascii="宋体" w:hAnsi="宋体"/>
          <w:sz w:val="24"/>
        </w:rPr>
      </w:pPr>
      <w:r>
        <w:rPr>
          <w:rFonts w:hint="eastAsia" w:ascii="宋体" w:hAnsi="宋体"/>
          <w:sz w:val="24"/>
        </w:rPr>
        <w:t>在人行横道线处施划“礼让行人、守法过街”地面文字标识，字体样式与片区现状施划样式一致。“礼让行人”地面文字面向来车方向，“守法过街”地面文字面向行人方向。字体采用黑体，颜色采用黄色，“礼让行人”地面文字在停止线与人行横道线空白区域居中布置，字符高度、间距应根据人行横道线与停止线距离作适当调整（停止线应距人行横道1 m～3 m）。“守法过街”地面文字标识施划于人行横道线与人行道之间空白区域（间距不够时可取消1 根人行横道线），地面文字在人行横道线与人行道空白区域居中布置，字符高度、间距应根据人行横道线与人行道距离作适当调整，4-5m的人行横道线处“守法过街”字高0.5m,字宽0.4m，间距0.2；6-8m的人行横道线处“守法过街”字高0.5m,字宽0.5m，间距0.25；4-8m的人行横道线处“礼让行人”字高1m,字宽0.5m，间距0.2m。</w:t>
      </w:r>
    </w:p>
    <w:p>
      <w:pPr>
        <w:numPr>
          <w:ilvl w:val="0"/>
          <w:numId w:val="3"/>
        </w:numPr>
        <w:spacing w:line="360" w:lineRule="auto"/>
        <w:rPr>
          <w:color w:val="000000"/>
          <w:sz w:val="24"/>
        </w:rPr>
      </w:pPr>
      <w:r>
        <w:rPr>
          <w:rFonts w:hint="eastAsia"/>
          <w:color w:val="000000"/>
          <w:sz w:val="24"/>
        </w:rPr>
        <w:t>其他地面标线、地面标记样式和尺寸详见设计大样图且满足规范要求。</w:t>
      </w:r>
    </w:p>
    <w:bookmarkEnd w:id="4"/>
    <w:p>
      <w:pPr>
        <w:spacing w:line="360" w:lineRule="auto"/>
        <w:outlineLvl w:val="1"/>
        <w:rPr>
          <w:rFonts w:ascii="宋体" w:hAnsi="宋体"/>
          <w:b/>
          <w:bCs/>
          <w:sz w:val="24"/>
        </w:rPr>
      </w:pPr>
      <w:r>
        <w:rPr>
          <w:rFonts w:hint="eastAsia" w:ascii="宋体" w:hAnsi="宋体"/>
          <w:b/>
          <w:bCs/>
          <w:sz w:val="24"/>
        </w:rPr>
        <w:t>2.2交通标线材料及施工要求</w:t>
      </w:r>
    </w:p>
    <w:p>
      <w:pPr>
        <w:pStyle w:val="39"/>
        <w:numPr>
          <w:ilvl w:val="0"/>
          <w:numId w:val="3"/>
        </w:numPr>
        <w:spacing w:line="360" w:lineRule="auto"/>
        <w:ind w:firstLineChars="0"/>
        <w:rPr>
          <w:rFonts w:ascii="宋体" w:hAnsi="宋体"/>
          <w:sz w:val="24"/>
        </w:rPr>
      </w:pPr>
      <w:r>
        <w:rPr>
          <w:rFonts w:hint="eastAsia" w:ascii="宋体" w:hAnsi="宋体"/>
          <w:sz w:val="24"/>
        </w:rPr>
        <w:t>所有标线材料均采用热熔型反光涂料，其技术指标应符合现行JT/T280《路面标线涂料》和GB/T 16311《道路交通标线质量要求和检测方法》的要求。</w:t>
      </w:r>
    </w:p>
    <w:p>
      <w:pPr>
        <w:pStyle w:val="39"/>
        <w:numPr>
          <w:ilvl w:val="0"/>
          <w:numId w:val="3"/>
        </w:numPr>
        <w:spacing w:line="360" w:lineRule="auto"/>
        <w:ind w:firstLineChars="0"/>
        <w:rPr>
          <w:rFonts w:ascii="宋体" w:hAnsi="宋体"/>
          <w:sz w:val="24"/>
        </w:rPr>
      </w:pPr>
      <w:r>
        <w:rPr>
          <w:rFonts w:hint="eastAsia" w:ascii="宋体" w:hAnsi="宋体"/>
          <w:sz w:val="24"/>
        </w:rPr>
        <w:t>标线的颜色及形状应符合《道路交通标志和标线》(GB 5768－2009)等的规定和设计要求。</w:t>
      </w:r>
    </w:p>
    <w:p>
      <w:pPr>
        <w:pStyle w:val="39"/>
        <w:numPr>
          <w:ilvl w:val="0"/>
          <w:numId w:val="3"/>
        </w:numPr>
        <w:spacing w:line="360" w:lineRule="auto"/>
        <w:ind w:firstLineChars="0"/>
        <w:rPr>
          <w:rFonts w:ascii="宋体" w:hAnsi="宋体"/>
          <w:sz w:val="24"/>
        </w:rPr>
      </w:pPr>
      <w:r>
        <w:rPr>
          <w:rFonts w:hint="eastAsia" w:ascii="宋体" w:hAnsi="宋体"/>
          <w:sz w:val="24"/>
        </w:rPr>
        <w:t>普通热熔新划标线的初始逆反射亮度系数应符合JTG F80/1-2017《公路工程质量检验评定标准》中的Ⅲ级规定，其白色反光标线逆反射亮度系数应不小于350mcd.lx-1. .m-2.，黄色反光标线的逆反射亮度系数应不小于150mcd.lx-1.m-2；在正常使用满2年，白色反光标线的逆反射亮度不应低于100mcd.m-2.lx-1，黄色反光标线的初始逆反射亮度系数应不小于60 mcd.m-2.lx-1。</w:t>
      </w:r>
    </w:p>
    <w:p>
      <w:pPr>
        <w:pStyle w:val="39"/>
        <w:numPr>
          <w:ilvl w:val="0"/>
          <w:numId w:val="3"/>
        </w:numPr>
        <w:spacing w:line="360" w:lineRule="auto"/>
        <w:ind w:firstLineChars="0"/>
        <w:rPr>
          <w:rFonts w:ascii="宋体" w:hAnsi="宋体"/>
          <w:sz w:val="24"/>
        </w:rPr>
      </w:pPr>
      <w:r>
        <w:rPr>
          <w:rFonts w:hint="eastAsia" w:ascii="宋体" w:hAnsi="宋体"/>
          <w:sz w:val="24"/>
        </w:rPr>
        <w:t>普通热熔标线的厚度1.8mm（+0.5mm，-0.1mm），标线导向箭头厚度2.5mm（+0.5mm，-0.1mm），涂料中应混合占总重量不低于30%的玻璃微珠，在喷涂时，普通热熔标线表面还应均撒0.35kg/m2的玻璃微珠，减速振动标线表面还应均撒0.5kg/㎡的玻璃微珠。</w:t>
      </w:r>
    </w:p>
    <w:p>
      <w:pPr>
        <w:pStyle w:val="39"/>
        <w:numPr>
          <w:ilvl w:val="0"/>
          <w:numId w:val="3"/>
        </w:numPr>
        <w:spacing w:line="360" w:lineRule="auto"/>
        <w:ind w:firstLineChars="0"/>
        <w:rPr>
          <w:rFonts w:ascii="宋体" w:hAnsi="宋体"/>
          <w:sz w:val="24"/>
        </w:rPr>
      </w:pPr>
      <w:r>
        <w:rPr>
          <w:rFonts w:hint="eastAsia" w:ascii="宋体" w:hAnsi="宋体"/>
          <w:sz w:val="24"/>
        </w:rPr>
        <w:t>施工路面标线之前，要求路面干燥、清洁，除净杂物及灰尘。</w:t>
      </w:r>
    </w:p>
    <w:p>
      <w:pPr>
        <w:pStyle w:val="39"/>
        <w:numPr>
          <w:ilvl w:val="0"/>
          <w:numId w:val="3"/>
        </w:numPr>
        <w:spacing w:line="360" w:lineRule="auto"/>
        <w:ind w:firstLineChars="0"/>
        <w:rPr>
          <w:rFonts w:ascii="宋体" w:hAnsi="宋体"/>
          <w:sz w:val="24"/>
        </w:rPr>
      </w:pPr>
      <w:r>
        <w:rPr>
          <w:rFonts w:hint="eastAsia" w:ascii="宋体" w:hAnsi="宋体"/>
          <w:sz w:val="24"/>
        </w:rPr>
        <w:t>车道边缘线不得侵占车行道宽度。</w:t>
      </w:r>
    </w:p>
    <w:p>
      <w:pPr>
        <w:pStyle w:val="39"/>
        <w:numPr>
          <w:ilvl w:val="0"/>
          <w:numId w:val="3"/>
        </w:numPr>
        <w:spacing w:line="360" w:lineRule="auto"/>
        <w:ind w:firstLineChars="0"/>
        <w:rPr>
          <w:rFonts w:ascii="宋体" w:hAnsi="宋体"/>
          <w:sz w:val="24"/>
        </w:rPr>
      </w:pPr>
      <w:r>
        <w:rPr>
          <w:rFonts w:hint="eastAsia" w:ascii="宋体" w:hAnsi="宋体"/>
          <w:sz w:val="24"/>
        </w:rPr>
        <w:t>划标线之前，要根据设计图纸要求并结合道路平曲线要素实地放线，以保证标线位置精确、线形顺畅。</w:t>
      </w:r>
    </w:p>
    <w:p>
      <w:pPr>
        <w:pStyle w:val="39"/>
        <w:numPr>
          <w:ilvl w:val="0"/>
          <w:numId w:val="3"/>
        </w:numPr>
        <w:spacing w:line="360" w:lineRule="auto"/>
        <w:ind w:firstLineChars="0"/>
        <w:rPr>
          <w:rFonts w:ascii="宋体" w:hAnsi="宋体"/>
          <w:sz w:val="24"/>
        </w:rPr>
      </w:pPr>
      <w:r>
        <w:rPr>
          <w:rFonts w:hint="eastAsia" w:ascii="宋体" w:hAnsi="宋体"/>
          <w:sz w:val="24"/>
        </w:rPr>
        <w:t>标线施划宽度允许偏差±5mm，长度偏差±50mm，横向偏位±30mm。喷涂后边缘无明显毛边，顺直平滑。</w:t>
      </w:r>
    </w:p>
    <w:p>
      <w:pPr>
        <w:pStyle w:val="39"/>
        <w:numPr>
          <w:ilvl w:val="0"/>
          <w:numId w:val="3"/>
        </w:numPr>
        <w:spacing w:line="360" w:lineRule="auto"/>
        <w:ind w:firstLineChars="0"/>
        <w:rPr>
          <w:rFonts w:ascii="宋体" w:hAnsi="宋体"/>
          <w:sz w:val="24"/>
        </w:rPr>
      </w:pPr>
      <w:r>
        <w:rPr>
          <w:rFonts w:hint="eastAsia" w:ascii="宋体" w:hAnsi="宋体"/>
          <w:sz w:val="24"/>
        </w:rPr>
        <w:t>标线的颜色及形状应符合《道路交通标志和标线》（</w:t>
      </w:r>
      <w:r>
        <w:rPr>
          <w:rFonts w:ascii="宋体" w:hAnsi="宋体"/>
          <w:sz w:val="24"/>
        </w:rPr>
        <w:t>GB 5768-2009</w:t>
      </w:r>
      <w:r>
        <w:rPr>
          <w:rFonts w:hint="eastAsia" w:ascii="宋体" w:hAnsi="宋体"/>
          <w:sz w:val="24"/>
        </w:rPr>
        <w:t>）、《城市道路交通标志和标线设置规范》（GB 50138-2015）以及《城市道路交通管理设施设置规范》（DB 50/T 548）的规定和设计要求。</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交通标志设计</w:t>
      </w:r>
    </w:p>
    <w:p>
      <w:pPr>
        <w:spacing w:line="360" w:lineRule="auto"/>
        <w:ind w:firstLine="482"/>
        <w:rPr>
          <w:rFonts w:ascii="宋体" w:hAnsi="宋体"/>
          <w:sz w:val="24"/>
        </w:rPr>
      </w:pPr>
      <w:bookmarkStart w:id="5" w:name="_Hlk173331949"/>
      <w:r>
        <w:rPr>
          <w:rFonts w:hint="eastAsia" w:ascii="宋体" w:hAnsi="宋体"/>
          <w:sz w:val="24"/>
        </w:rPr>
        <w:t>本次主要交通标志包括有禁令标志、警告标志、指示标志、指路标志等，包括拆除现状交通标志和新增交通标志，工程量据实结算。</w:t>
      </w:r>
    </w:p>
    <w:p>
      <w:pPr>
        <w:spacing w:line="360" w:lineRule="auto"/>
        <w:ind w:firstLine="482"/>
        <w:rPr>
          <w:rFonts w:ascii="宋体" w:hAnsi="宋体"/>
          <w:sz w:val="24"/>
        </w:rPr>
      </w:pPr>
      <w:r>
        <w:rPr>
          <w:rFonts w:hint="eastAsia" w:ascii="宋体" w:hAnsi="宋体"/>
          <w:sz w:val="24"/>
        </w:rPr>
        <w:t>道路交通标志设计根据国标《道路交通标志和标线》（GB5768）、《城市道路交通标志和标线设置规范》（GB 50138）以及《城市道路交通管理设施设置规范》（DB 50/T 548等进行。</w:t>
      </w:r>
      <w:bookmarkEnd w:id="5"/>
    </w:p>
    <w:p>
      <w:pPr>
        <w:spacing w:line="360" w:lineRule="auto"/>
        <w:outlineLvl w:val="1"/>
        <w:rPr>
          <w:rFonts w:ascii="宋体" w:hAnsi="宋体"/>
          <w:b/>
          <w:bCs/>
          <w:sz w:val="24"/>
        </w:rPr>
      </w:pPr>
      <w:r>
        <w:rPr>
          <w:rFonts w:hint="eastAsia" w:ascii="宋体" w:hAnsi="宋体"/>
          <w:b/>
          <w:bCs/>
          <w:sz w:val="24"/>
        </w:rPr>
        <w:t>3.1设置地点</w:t>
      </w:r>
    </w:p>
    <w:p>
      <w:pPr>
        <w:spacing w:line="360" w:lineRule="auto"/>
        <w:ind w:firstLine="491" w:firstLineChars="205"/>
        <w:rPr>
          <w:sz w:val="24"/>
        </w:rPr>
      </w:pPr>
      <w:r>
        <w:rPr>
          <w:rFonts w:hint="eastAsia"/>
          <w:sz w:val="24"/>
        </w:rPr>
        <w:t>标志设置在施工过程中须注意以下几点：</w:t>
      </w:r>
    </w:p>
    <w:p>
      <w:pPr>
        <w:pStyle w:val="39"/>
        <w:numPr>
          <w:ilvl w:val="0"/>
          <w:numId w:val="3"/>
        </w:numPr>
        <w:spacing w:line="360" w:lineRule="auto"/>
        <w:ind w:firstLineChars="0"/>
        <w:rPr>
          <w:rFonts w:ascii="宋体" w:hAnsi="宋体"/>
          <w:sz w:val="24"/>
        </w:rPr>
      </w:pPr>
      <w:r>
        <w:rPr>
          <w:rFonts w:hint="eastAsia" w:ascii="宋体" w:hAnsi="宋体"/>
          <w:sz w:val="24"/>
        </w:rPr>
        <w:t>在满足规定的前置距离的情况下，不允许损坏道路结构和妨碍交通安全；不应紧靠在建筑物的门前、窗前、及车辆出入口前；与建筑物保持1m以上的侧向距离。</w:t>
      </w:r>
    </w:p>
    <w:p>
      <w:pPr>
        <w:pStyle w:val="39"/>
        <w:numPr>
          <w:ilvl w:val="0"/>
          <w:numId w:val="3"/>
        </w:numPr>
        <w:spacing w:line="360" w:lineRule="auto"/>
        <w:ind w:firstLineChars="0"/>
        <w:rPr>
          <w:rFonts w:ascii="宋体" w:hAnsi="宋体"/>
          <w:sz w:val="24"/>
        </w:rPr>
      </w:pPr>
      <w:r>
        <w:rPr>
          <w:rFonts w:hint="eastAsia" w:ascii="宋体" w:hAnsi="宋体"/>
          <w:sz w:val="24"/>
        </w:rPr>
        <w:t>应满足视认要求，避免上跨桥、照明设施、门架、监控设施、电杆、行道树、绿篱及路上构造物等对标志板面的遮挡。同时不应遮挡其他交通设施。</w:t>
      </w:r>
    </w:p>
    <w:p>
      <w:pPr>
        <w:pStyle w:val="39"/>
        <w:numPr>
          <w:ilvl w:val="0"/>
          <w:numId w:val="3"/>
        </w:numPr>
        <w:spacing w:line="360" w:lineRule="auto"/>
        <w:ind w:firstLineChars="0"/>
        <w:rPr>
          <w:rFonts w:ascii="宋体" w:hAnsi="宋体"/>
          <w:sz w:val="24"/>
        </w:rPr>
      </w:pPr>
      <w:r>
        <w:rPr>
          <w:rFonts w:hint="eastAsia" w:ascii="宋体" w:hAnsi="宋体"/>
          <w:sz w:val="24"/>
        </w:rPr>
        <w:t>标志的版面应面向来车方向，并应尽量减少对驾驶员的眩光。设置路侧式标志时，可与道路中心线的垂直线成一定的角度，指路标志和警告标志为0度～10度，禁令标志和指示标志为0度～45度，道路上方的标志应与道路中心线垂直并与道路垂直线成0度～10度的俯角。</w:t>
      </w:r>
    </w:p>
    <w:p>
      <w:pPr>
        <w:pStyle w:val="39"/>
        <w:numPr>
          <w:ilvl w:val="0"/>
          <w:numId w:val="3"/>
        </w:numPr>
        <w:spacing w:line="360" w:lineRule="auto"/>
        <w:ind w:firstLineChars="0"/>
        <w:rPr>
          <w:rFonts w:ascii="宋体" w:hAnsi="宋体"/>
          <w:sz w:val="24"/>
        </w:rPr>
      </w:pPr>
      <w:r>
        <w:rPr>
          <w:rFonts w:hint="eastAsia" w:ascii="宋体" w:hAnsi="宋体"/>
          <w:sz w:val="24"/>
        </w:rPr>
        <w:t>标志立柱应保持垂直，其倾斜度不应大于立柱高度的0.5％，且不允许向车行道一侧倾斜。</w:t>
      </w:r>
    </w:p>
    <w:p>
      <w:pPr>
        <w:pStyle w:val="39"/>
        <w:numPr>
          <w:ilvl w:val="0"/>
          <w:numId w:val="3"/>
        </w:numPr>
        <w:spacing w:line="360" w:lineRule="auto"/>
        <w:ind w:firstLineChars="0"/>
        <w:rPr>
          <w:rFonts w:ascii="宋体" w:hAnsi="宋体"/>
          <w:sz w:val="24"/>
        </w:rPr>
      </w:pPr>
      <w:r>
        <w:rPr>
          <w:rFonts w:hint="eastAsia" w:ascii="宋体" w:hAnsi="宋体"/>
          <w:sz w:val="24"/>
        </w:rPr>
        <w:t>标志板在一根标杆上并设时，应按禁令、指示、警告的顺序，先上后下，先左后右排列，同类标志的设置顺序，应按提示信息的危险程度先重后轻排列。停车让行标志、减速让行标志宜单独设置，如条件受限无法单独设置时，一个支撑结构物上最多不应超过两种标志。</w:t>
      </w:r>
    </w:p>
    <w:p>
      <w:pPr>
        <w:pStyle w:val="39"/>
        <w:numPr>
          <w:ilvl w:val="0"/>
          <w:numId w:val="3"/>
        </w:numPr>
        <w:spacing w:line="360" w:lineRule="auto"/>
        <w:ind w:firstLineChars="0"/>
        <w:rPr>
          <w:rFonts w:ascii="宋体" w:hAnsi="宋体"/>
          <w:sz w:val="24"/>
        </w:rPr>
      </w:pPr>
      <w:r>
        <w:rPr>
          <w:rFonts w:hint="eastAsia" w:ascii="宋体" w:hAnsi="宋体"/>
          <w:sz w:val="24"/>
        </w:rPr>
        <w:t>标志安装在单柱或双柱式标杆立柱上时，安装高度为210cm～250cm，但安装在隔离带、绿化带等非行人通行的地点时，安装高度不低于120cm。标志板外缘距路面侧石线不小于25cm。标志板安装在悬臂上，考虑到通行净空和路面维修增高的因素，安装高度控制在550cm。对于附着式标志同样应当符合210cm～250cm和侧向净空不小于25cm的要求。</w:t>
      </w:r>
    </w:p>
    <w:p>
      <w:pPr>
        <w:spacing w:line="360" w:lineRule="auto"/>
        <w:outlineLvl w:val="1"/>
        <w:rPr>
          <w:rFonts w:ascii="宋体" w:hAnsi="宋体"/>
          <w:b/>
          <w:bCs/>
          <w:sz w:val="24"/>
        </w:rPr>
      </w:pPr>
      <w:r>
        <w:rPr>
          <w:rFonts w:hint="eastAsia" w:ascii="宋体" w:hAnsi="宋体"/>
          <w:b/>
          <w:bCs/>
          <w:sz w:val="24"/>
        </w:rPr>
        <w:t>3.2版面设计</w:t>
      </w:r>
    </w:p>
    <w:p>
      <w:pPr>
        <w:spacing w:line="360" w:lineRule="auto"/>
        <w:ind w:firstLine="491" w:firstLineChars="205"/>
        <w:rPr>
          <w:sz w:val="24"/>
        </w:rPr>
      </w:pPr>
      <w:r>
        <w:rPr>
          <w:rFonts w:hint="eastAsia"/>
          <w:sz w:val="24"/>
        </w:rPr>
        <w:t>标志根据其版面内容的不同，分为警告、禁令、指示、指路等几种。本次的道路标志版面主要以最新的《道路交通标志和标线》（GB5768）和《城市道路交通标志和标线设置规范》（GB 51038）以及《城市道路交通管理设施设置规范》（DB 50/T 548）、</w:t>
      </w:r>
      <w:r>
        <w:rPr>
          <w:rFonts w:hint="eastAsia" w:ascii="宋体" w:hAnsi="宋体"/>
          <w:sz w:val="24"/>
        </w:rPr>
        <w:t>《城市道路指路系统信息设计导则》（</w:t>
      </w:r>
      <w:r>
        <w:rPr>
          <w:rFonts w:ascii="宋体" w:hAnsi="宋体"/>
          <w:sz w:val="24"/>
        </w:rPr>
        <w:t>DB 50/T 897</w:t>
      </w:r>
      <w:r>
        <w:rPr>
          <w:rFonts w:hint="eastAsia" w:ascii="宋体" w:hAnsi="宋体"/>
          <w:sz w:val="24"/>
        </w:rPr>
        <w:t>）等</w:t>
      </w:r>
      <w:r>
        <w:rPr>
          <w:rFonts w:hint="eastAsia"/>
          <w:sz w:val="24"/>
        </w:rPr>
        <w:t>为依据，同时根据重庆地方交通管理相关规定进行设计：</w:t>
      </w:r>
    </w:p>
    <w:p>
      <w:pPr>
        <w:spacing w:line="360" w:lineRule="auto"/>
        <w:ind w:firstLine="480" w:firstLineChars="200"/>
        <w:rPr>
          <w:rFonts w:ascii="宋体" w:hAnsi="宋体"/>
          <w:sz w:val="24"/>
        </w:rPr>
      </w:pPr>
      <w:r>
        <w:rPr>
          <w:rFonts w:hint="eastAsia" w:ascii="宋体" w:hAnsi="宋体"/>
          <w:sz w:val="24"/>
        </w:rPr>
        <w:t>（1）交通标志的形状、图案、尺寸、设置、构造、反光和照明以及制作，必须按</w:t>
      </w:r>
      <w:r>
        <w:rPr>
          <w:rFonts w:hint="eastAsia"/>
          <w:sz w:val="24"/>
        </w:rPr>
        <w:t>《道路交通标志和标线》（GB 5768）</w:t>
      </w:r>
      <w:r>
        <w:rPr>
          <w:rFonts w:hint="eastAsia" w:ascii="宋体" w:hAnsi="宋体"/>
          <w:sz w:val="24"/>
        </w:rPr>
        <w:t>。外形尺寸允许偏差为5mm。</w:t>
      </w:r>
    </w:p>
    <w:p>
      <w:pPr>
        <w:spacing w:line="360" w:lineRule="auto"/>
        <w:ind w:firstLine="480" w:firstLineChars="200"/>
        <w:rPr>
          <w:rFonts w:ascii="宋体" w:hAnsi="宋体"/>
          <w:sz w:val="24"/>
        </w:rPr>
      </w:pPr>
      <w:r>
        <w:rPr>
          <w:rFonts w:hint="eastAsia" w:ascii="宋体" w:hAnsi="宋体"/>
          <w:sz w:val="24"/>
        </w:rPr>
        <w:t>（2）交通标志的文字书写规范、正确、工整。根据需要，可并用汉字和其它文字。当标志上采用中英两种文字时，地名用汉语拼音，专用名词用英文。</w:t>
      </w:r>
    </w:p>
    <w:p>
      <w:pPr>
        <w:spacing w:line="360" w:lineRule="auto"/>
        <w:ind w:firstLine="480" w:firstLineChars="200"/>
        <w:rPr>
          <w:rFonts w:ascii="宋体" w:hAnsi="宋体"/>
          <w:sz w:val="24"/>
        </w:rPr>
      </w:pPr>
      <w:r>
        <w:rPr>
          <w:rFonts w:hint="eastAsia" w:ascii="宋体" w:hAnsi="宋体"/>
          <w:sz w:val="24"/>
        </w:rPr>
        <w:t>（3）</w:t>
      </w:r>
      <w:r>
        <w:rPr>
          <w:rFonts w:ascii="宋体" w:hAnsi="宋体"/>
          <w:sz w:val="24"/>
        </w:rPr>
        <w:t>交通标志的图案、颜色严格按照</w:t>
      </w:r>
      <w:r>
        <w:rPr>
          <w:rFonts w:hint="eastAsia" w:ascii="宋体" w:hAnsi="宋体"/>
          <w:sz w:val="24"/>
        </w:rPr>
        <w:t>国标规定</w:t>
      </w:r>
      <w:r>
        <w:rPr>
          <w:rFonts w:ascii="宋体" w:hAnsi="宋体"/>
          <w:sz w:val="24"/>
        </w:rPr>
        <w:t>制作。</w:t>
      </w:r>
    </w:p>
    <w:p>
      <w:pPr>
        <w:pStyle w:val="35"/>
        <w:numPr>
          <w:ilvl w:val="0"/>
          <w:numId w:val="5"/>
        </w:numPr>
        <w:spacing w:line="360" w:lineRule="auto"/>
        <w:ind w:firstLineChars="0"/>
        <w:rPr>
          <w:rFonts w:ascii="宋体" w:hAnsi="宋体"/>
          <w:sz w:val="24"/>
        </w:rPr>
      </w:pPr>
      <w:r>
        <w:rPr>
          <w:rFonts w:hint="eastAsia" w:ascii="宋体" w:hAnsi="宋体"/>
          <w:sz w:val="24"/>
        </w:rPr>
        <w:t>本次设计的主要交通标志版面尺寸信息详见工程量</w:t>
      </w:r>
      <w:r>
        <w:rPr>
          <w:rFonts w:ascii="宋体" w:hAnsi="宋体"/>
          <w:sz w:val="24"/>
        </w:rPr>
        <w:t>清单</w:t>
      </w:r>
      <w:r>
        <w:rPr>
          <w:rFonts w:hint="eastAsia" w:ascii="宋体" w:hAnsi="宋体"/>
          <w:sz w:val="24"/>
        </w:rPr>
        <w:t>。</w:t>
      </w:r>
    </w:p>
    <w:p>
      <w:pPr>
        <w:spacing w:line="360" w:lineRule="auto"/>
        <w:outlineLvl w:val="1"/>
        <w:rPr>
          <w:rFonts w:ascii="宋体" w:hAnsi="宋体"/>
          <w:b/>
          <w:bCs/>
          <w:sz w:val="24"/>
        </w:rPr>
      </w:pPr>
      <w:r>
        <w:rPr>
          <w:rFonts w:hint="eastAsia" w:ascii="宋体" w:hAnsi="宋体"/>
          <w:b/>
          <w:bCs/>
          <w:sz w:val="24"/>
        </w:rPr>
        <w:t>3.3标志的材料和结构</w:t>
      </w:r>
    </w:p>
    <w:p>
      <w:pPr>
        <w:pStyle w:val="39"/>
        <w:numPr>
          <w:ilvl w:val="0"/>
          <w:numId w:val="3"/>
        </w:numPr>
        <w:spacing w:line="360" w:lineRule="auto"/>
        <w:ind w:firstLineChars="0"/>
        <w:rPr>
          <w:rFonts w:ascii="宋体" w:hAnsi="宋体"/>
          <w:sz w:val="24"/>
        </w:rPr>
      </w:pPr>
      <w:r>
        <w:rPr>
          <w:rFonts w:hint="eastAsia" w:ascii="宋体" w:hAnsi="宋体"/>
          <w:sz w:val="24"/>
        </w:rPr>
        <w:t>常规标志板由标志面、标志底板及滑槽等组成，标志板采用铝合金板，符合《道路交通标志板及支撑件》GB/T 23827要求。</w:t>
      </w:r>
    </w:p>
    <w:p>
      <w:pPr>
        <w:pStyle w:val="39"/>
        <w:numPr>
          <w:ilvl w:val="0"/>
          <w:numId w:val="3"/>
        </w:numPr>
        <w:spacing w:line="360" w:lineRule="auto"/>
        <w:ind w:firstLineChars="0"/>
        <w:rPr>
          <w:rFonts w:ascii="宋体" w:hAnsi="宋体"/>
          <w:sz w:val="24"/>
        </w:rPr>
      </w:pPr>
      <w:r>
        <w:rPr>
          <w:rFonts w:hint="eastAsia" w:ascii="宋体" w:hAnsi="宋体"/>
          <w:sz w:val="24"/>
        </w:rPr>
        <w:t>本次标志采用V类反光膜制作。本次设计单立柱标志采用2.5mm厚度，悬臂式标志采用3mm厚度。</w:t>
      </w:r>
    </w:p>
    <w:p>
      <w:pPr>
        <w:pStyle w:val="39"/>
        <w:numPr>
          <w:ilvl w:val="0"/>
          <w:numId w:val="3"/>
        </w:numPr>
        <w:spacing w:line="360" w:lineRule="auto"/>
        <w:ind w:firstLineChars="0"/>
        <w:rPr>
          <w:rFonts w:ascii="宋体" w:hAnsi="宋体"/>
          <w:sz w:val="24"/>
        </w:rPr>
      </w:pPr>
      <w:r>
        <w:rPr>
          <w:rFonts w:hint="eastAsia" w:ascii="宋体" w:hAnsi="宋体"/>
          <w:sz w:val="24"/>
        </w:rPr>
        <w:t>同一块标志板上，标志底板和标志面所采用的各种材料应具有相容性，防止电化作用，不同的热膨胀系数或其他化学反应等造成标志板的锈蚀或损坏。</w:t>
      </w:r>
    </w:p>
    <w:p>
      <w:pPr>
        <w:spacing w:line="360" w:lineRule="auto"/>
        <w:outlineLvl w:val="1"/>
        <w:rPr>
          <w:rFonts w:ascii="宋体" w:hAnsi="宋体"/>
          <w:b/>
          <w:bCs/>
          <w:sz w:val="24"/>
        </w:rPr>
      </w:pPr>
      <w:r>
        <w:rPr>
          <w:rFonts w:hint="eastAsia" w:ascii="宋体" w:hAnsi="宋体"/>
          <w:b/>
          <w:bCs/>
          <w:sz w:val="24"/>
        </w:rPr>
        <w:t>3.4标志立柱</w:t>
      </w:r>
    </w:p>
    <w:p>
      <w:pPr>
        <w:pStyle w:val="39"/>
        <w:numPr>
          <w:ilvl w:val="0"/>
          <w:numId w:val="3"/>
        </w:numPr>
        <w:spacing w:line="360" w:lineRule="auto"/>
        <w:ind w:firstLineChars="0"/>
        <w:rPr>
          <w:rFonts w:ascii="宋体" w:hAnsi="宋体"/>
          <w:sz w:val="24"/>
        </w:rPr>
      </w:pPr>
      <w:r>
        <w:rPr>
          <w:rFonts w:hint="eastAsia" w:ascii="宋体" w:hAnsi="宋体"/>
          <w:sz w:val="24"/>
        </w:rPr>
        <w:t>标志立柱采用无缝钢管制作，符合《道路交通标志板及支撑件》GB/T 23827要求。</w:t>
      </w:r>
    </w:p>
    <w:p>
      <w:pPr>
        <w:pStyle w:val="39"/>
        <w:numPr>
          <w:ilvl w:val="0"/>
          <w:numId w:val="3"/>
        </w:numPr>
        <w:spacing w:line="360" w:lineRule="auto"/>
        <w:ind w:firstLineChars="0"/>
        <w:rPr>
          <w:rFonts w:ascii="宋体" w:hAnsi="宋体"/>
          <w:sz w:val="24"/>
        </w:rPr>
      </w:pPr>
      <w:r>
        <w:rPr>
          <w:rFonts w:hint="eastAsia" w:ascii="宋体" w:hAnsi="宋体"/>
          <w:sz w:val="24"/>
        </w:rPr>
        <w:t>所有钢构件必须采用热浸锌作防腐处理。立柱、底板、横梁、法兰盘等大构件镀锌量为600g/m</w:t>
      </w:r>
      <w:r>
        <w:rPr>
          <w:rFonts w:hint="eastAsia" w:ascii="宋体" w:hAnsi="宋体"/>
          <w:sz w:val="24"/>
          <w:vertAlign w:val="superscript"/>
        </w:rPr>
        <w:t>2</w:t>
      </w:r>
      <w:r>
        <w:rPr>
          <w:rFonts w:hint="eastAsia" w:ascii="宋体" w:hAnsi="宋体"/>
          <w:sz w:val="24"/>
        </w:rPr>
        <w:t>，抱箍等小构件镀锌量为350g/m</w:t>
      </w:r>
      <w:r>
        <w:rPr>
          <w:rFonts w:hint="eastAsia" w:ascii="宋体" w:hAnsi="宋体"/>
          <w:sz w:val="24"/>
          <w:vertAlign w:val="superscript"/>
        </w:rPr>
        <w:t>2</w:t>
      </w:r>
      <w:r>
        <w:rPr>
          <w:rFonts w:hint="eastAsia" w:ascii="宋体" w:hAnsi="宋体"/>
          <w:sz w:val="24"/>
        </w:rPr>
        <w:t>，并符合规范要求。</w:t>
      </w:r>
    </w:p>
    <w:p>
      <w:pPr>
        <w:pStyle w:val="39"/>
        <w:numPr>
          <w:ilvl w:val="0"/>
          <w:numId w:val="3"/>
        </w:numPr>
        <w:spacing w:line="360" w:lineRule="auto"/>
        <w:ind w:firstLineChars="0"/>
        <w:rPr>
          <w:rFonts w:ascii="宋体" w:hAnsi="宋体"/>
          <w:sz w:val="24"/>
        </w:rPr>
      </w:pPr>
      <w:r>
        <w:rPr>
          <w:rFonts w:hint="eastAsia" w:ascii="宋体" w:hAnsi="宋体"/>
          <w:sz w:val="24"/>
        </w:rPr>
        <w:t>对应不同板面大小的交通标志牌采用不同的支撑结构：单柱式支撑结构立柱为直径89mm、直径114mm、直径121mm、直径140mm的无缝钢管。</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交通安全设施设计</w:t>
      </w:r>
    </w:p>
    <w:p>
      <w:pPr>
        <w:spacing w:line="360" w:lineRule="auto"/>
        <w:outlineLvl w:val="1"/>
        <w:rPr>
          <w:rFonts w:ascii="宋体" w:hAnsi="宋体"/>
          <w:b/>
          <w:bCs/>
          <w:sz w:val="24"/>
        </w:rPr>
      </w:pPr>
      <w:r>
        <w:rPr>
          <w:rFonts w:hint="eastAsia" w:ascii="宋体" w:hAnsi="宋体"/>
          <w:b/>
          <w:bCs/>
          <w:sz w:val="24"/>
        </w:rPr>
        <w:t>4.1 水泥隔离墩</w:t>
      </w:r>
    </w:p>
    <w:p>
      <w:pPr>
        <w:spacing w:line="360" w:lineRule="auto"/>
        <w:ind w:firstLine="480" w:firstLineChars="200"/>
        <w:rPr>
          <w:rFonts w:ascii="宋体" w:hAnsi="宋体"/>
          <w:sz w:val="24"/>
        </w:rPr>
      </w:pPr>
      <w:r>
        <w:rPr>
          <w:rFonts w:hint="eastAsia" w:ascii="宋体" w:hAnsi="宋体"/>
          <w:sz w:val="24"/>
        </w:rPr>
        <w:t>本次设计的水泥隔离墩有为由下方混凝土基座和上方两根蓝白相间的钢管构成，其中混凝土基座底部为</w:t>
      </w:r>
      <w:r>
        <w:rPr>
          <w:rFonts w:ascii="宋体" w:hAnsi="宋体"/>
          <w:sz w:val="24"/>
        </w:rPr>
        <w:t>50</w:t>
      </w:r>
      <w:r>
        <w:rPr>
          <w:rFonts w:hint="eastAsia" w:ascii="宋体" w:hAnsi="宋体"/>
          <w:sz w:val="24"/>
        </w:rPr>
        <w:t>cm宽，上方钢管采用直径</w:t>
      </w:r>
      <w:r>
        <w:rPr>
          <w:rFonts w:ascii="宋体" w:hAnsi="宋体"/>
          <w:sz w:val="24"/>
        </w:rPr>
        <w:t>114</w:t>
      </w:r>
      <w:r>
        <w:rPr>
          <w:rFonts w:hint="eastAsia" w:ascii="宋体" w:hAnsi="宋体"/>
          <w:sz w:val="24"/>
        </w:rPr>
        <w:t>mm的不锈钢管，下方钢管采用直径</w:t>
      </w:r>
      <w:r>
        <w:rPr>
          <w:rFonts w:ascii="宋体" w:hAnsi="宋体"/>
          <w:sz w:val="24"/>
        </w:rPr>
        <w:t>89</w:t>
      </w:r>
      <w:r>
        <w:rPr>
          <w:rFonts w:hint="eastAsia" w:ascii="宋体" w:hAnsi="宋体"/>
          <w:sz w:val="24"/>
        </w:rPr>
        <w:t>mm的不锈钢管，具体参数与尺寸以现场实际为准，据实结算。</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信号灯设施设计</w:t>
      </w:r>
    </w:p>
    <w:p>
      <w:pPr>
        <w:spacing w:line="360" w:lineRule="auto"/>
        <w:outlineLvl w:val="1"/>
        <w:rPr>
          <w:rFonts w:ascii="宋体" w:hAnsi="宋体"/>
          <w:b/>
          <w:bCs/>
          <w:sz w:val="24"/>
        </w:rPr>
      </w:pPr>
      <w:r>
        <w:rPr>
          <w:rFonts w:ascii="宋体" w:hAnsi="宋体"/>
          <w:b/>
          <w:bCs/>
          <w:sz w:val="24"/>
        </w:rPr>
        <w:t>5</w:t>
      </w:r>
      <w:r>
        <w:rPr>
          <w:rFonts w:hint="eastAsia" w:ascii="宋体" w:hAnsi="宋体"/>
          <w:b/>
          <w:bCs/>
          <w:sz w:val="24"/>
        </w:rPr>
        <w:t>.1设计概况</w:t>
      </w:r>
    </w:p>
    <w:p>
      <w:pPr>
        <w:tabs>
          <w:tab w:val="left" w:pos="0"/>
        </w:tabs>
        <w:spacing w:line="360" w:lineRule="auto"/>
        <w:ind w:firstLine="480" w:firstLineChars="200"/>
        <w:jc w:val="left"/>
        <w:rPr>
          <w:rFonts w:ascii="宋体" w:hAnsi="宋体" w:cs="宋体"/>
          <w:sz w:val="24"/>
        </w:rPr>
      </w:pPr>
      <w:r>
        <w:rPr>
          <w:rFonts w:hint="eastAsia" w:ascii="宋体" w:hAnsi="宋体" w:cs="宋体"/>
          <w:sz w:val="24"/>
        </w:rPr>
        <w:t>本次设计的信号灯设施内容仅包括外部硬件设施，不包含后台系统设施，所采用的设备均需与交管部门现状后台相兼容。</w:t>
      </w:r>
    </w:p>
    <w:p>
      <w:pPr>
        <w:spacing w:line="360" w:lineRule="auto"/>
        <w:outlineLvl w:val="1"/>
        <w:rPr>
          <w:rFonts w:ascii="宋体" w:hAnsi="宋体"/>
          <w:b/>
          <w:bCs/>
          <w:sz w:val="24"/>
        </w:rPr>
      </w:pPr>
      <w:r>
        <w:rPr>
          <w:rFonts w:ascii="宋体" w:hAnsi="宋体"/>
          <w:b/>
          <w:bCs/>
          <w:sz w:val="24"/>
        </w:rPr>
        <w:t>5</w:t>
      </w:r>
      <w:r>
        <w:rPr>
          <w:rFonts w:hint="eastAsia" w:ascii="宋体" w:hAnsi="宋体"/>
          <w:b/>
          <w:bCs/>
          <w:sz w:val="24"/>
        </w:rPr>
        <w:t>.2信号控制系统功能</w:t>
      </w:r>
    </w:p>
    <w:p>
      <w:pPr>
        <w:tabs>
          <w:tab w:val="left" w:pos="0"/>
        </w:tabs>
        <w:spacing w:line="360" w:lineRule="auto"/>
        <w:ind w:firstLine="480" w:firstLineChars="200"/>
        <w:jc w:val="left"/>
        <w:rPr>
          <w:sz w:val="24"/>
        </w:rPr>
      </w:pPr>
      <w:r>
        <w:rPr>
          <w:rFonts w:hint="eastAsia" w:ascii="宋体" w:hAnsi="宋体" w:cs="宋体"/>
          <w:sz w:val="24"/>
        </w:rPr>
        <w:t>本次信号灯控制系统按照《道路交通信号灯》（GB14887-2011）以及《道路交通控制机》（GB-25280-2016）等规范或标准要求进行设计，并满足未来区域交通信号协调控制需求，因此本项目采用集中协调式信号机（C类信号控制机），信号机需具有协调控制功能及感应控制功能，同时，应具备控制、管理等功能；系统接口协议应开放（如NTCIP协议），须实现基于GIS的监视和参数设置、查询等功能，并配套应急处突控制面板。</w:t>
      </w:r>
    </w:p>
    <w:p>
      <w:pPr>
        <w:tabs>
          <w:tab w:val="left" w:pos="0"/>
        </w:tabs>
        <w:spacing w:line="360" w:lineRule="auto"/>
        <w:ind w:firstLine="480" w:firstLineChars="200"/>
        <w:jc w:val="left"/>
        <w:rPr>
          <w:sz w:val="24"/>
        </w:rPr>
      </w:pPr>
      <w:r>
        <w:rPr>
          <w:sz w:val="24"/>
        </w:rPr>
        <w:t>1.</w:t>
      </w:r>
      <w:r>
        <w:rPr>
          <w:rFonts w:hint="eastAsia" w:cs="宋体"/>
          <w:sz w:val="24"/>
        </w:rPr>
        <w:t>本地模式的普通时间表</w:t>
      </w:r>
    </w:p>
    <w:p>
      <w:pPr>
        <w:tabs>
          <w:tab w:val="left" w:pos="0"/>
        </w:tabs>
        <w:spacing w:line="360" w:lineRule="auto"/>
        <w:ind w:firstLine="480" w:firstLineChars="200"/>
        <w:jc w:val="left"/>
        <w:rPr>
          <w:sz w:val="24"/>
        </w:rPr>
      </w:pPr>
      <w:r>
        <w:rPr>
          <w:rFonts w:hint="eastAsia" w:cs="宋体"/>
          <w:sz w:val="24"/>
        </w:rPr>
        <w:t>该模式为交叉口机所实现的基本控制模式，在该模式下，方案设计是离线的，方案存储于交叉口机中，向交叉口机中输入时间表，根据时间表来选择执行方案。可以采用交叉口机内部时钟，或用区域控制器进行时钟同步。</w:t>
      </w:r>
    </w:p>
    <w:p>
      <w:pPr>
        <w:tabs>
          <w:tab w:val="left" w:pos="0"/>
        </w:tabs>
        <w:spacing w:line="360" w:lineRule="auto"/>
        <w:ind w:firstLine="480" w:firstLineChars="200"/>
        <w:jc w:val="left"/>
        <w:rPr>
          <w:sz w:val="24"/>
        </w:rPr>
      </w:pPr>
      <w:r>
        <w:rPr>
          <w:sz w:val="24"/>
        </w:rPr>
        <w:t>2.</w:t>
      </w:r>
      <w:r>
        <w:rPr>
          <w:rFonts w:hint="eastAsia" w:cs="宋体"/>
          <w:sz w:val="24"/>
        </w:rPr>
        <w:t>自适应控制</w:t>
      </w:r>
    </w:p>
    <w:p>
      <w:pPr>
        <w:tabs>
          <w:tab w:val="left" w:pos="0"/>
        </w:tabs>
        <w:spacing w:line="360" w:lineRule="auto"/>
        <w:ind w:firstLine="480" w:firstLineChars="200"/>
        <w:jc w:val="left"/>
        <w:rPr>
          <w:sz w:val="24"/>
        </w:rPr>
      </w:pPr>
      <w:r>
        <w:rPr>
          <w:rFonts w:hint="eastAsia" w:cs="宋体"/>
          <w:sz w:val="24"/>
        </w:rPr>
        <w:t>在信号机联网和完成检测器布置的条件下，信号机检测得到交通流量、时间占有率和车辆速度等交通信息，信号机能将上述交通信息上传至控制中心，控制中心根据交通信息实时优化交通控制，形成最终优化控制方案，并下载至信号机运行，以实现干线路口的协调控制的目的。</w:t>
      </w:r>
    </w:p>
    <w:p>
      <w:pPr>
        <w:tabs>
          <w:tab w:val="left" w:pos="0"/>
        </w:tabs>
        <w:spacing w:line="360" w:lineRule="auto"/>
        <w:ind w:firstLine="480" w:firstLineChars="200"/>
        <w:jc w:val="left"/>
        <w:rPr>
          <w:sz w:val="24"/>
        </w:rPr>
      </w:pPr>
      <w:r>
        <w:rPr>
          <w:sz w:val="24"/>
        </w:rPr>
        <w:t>3.</w:t>
      </w:r>
      <w:r>
        <w:rPr>
          <w:rFonts w:hint="eastAsia" w:cs="宋体"/>
          <w:sz w:val="24"/>
        </w:rPr>
        <w:t>感应模式</w:t>
      </w:r>
    </w:p>
    <w:p>
      <w:pPr>
        <w:tabs>
          <w:tab w:val="left" w:pos="0"/>
        </w:tabs>
        <w:spacing w:line="360" w:lineRule="auto"/>
        <w:ind w:firstLine="480" w:firstLineChars="200"/>
        <w:jc w:val="left"/>
        <w:rPr>
          <w:sz w:val="24"/>
        </w:rPr>
      </w:pPr>
      <w:r>
        <w:rPr>
          <w:rFonts w:hint="eastAsia" w:cs="宋体"/>
          <w:sz w:val="24"/>
        </w:rPr>
        <w:t>感应控制是在交叉口进口车道上设置车辆检测器，信号灯配时方案可随检测到的车流信息而随时改变的控制模式。应支持半感应、全感应的控制模式。</w:t>
      </w:r>
    </w:p>
    <w:p>
      <w:pPr>
        <w:tabs>
          <w:tab w:val="left" w:pos="0"/>
        </w:tabs>
        <w:spacing w:line="360" w:lineRule="auto"/>
        <w:ind w:firstLine="480" w:firstLineChars="200"/>
        <w:jc w:val="left"/>
        <w:rPr>
          <w:sz w:val="24"/>
        </w:rPr>
      </w:pPr>
      <w:r>
        <w:rPr>
          <w:sz w:val="24"/>
        </w:rPr>
        <w:t>4.</w:t>
      </w:r>
      <w:r>
        <w:rPr>
          <w:rFonts w:hint="eastAsia" w:cs="宋体"/>
          <w:sz w:val="24"/>
        </w:rPr>
        <w:t>单点优化</w:t>
      </w:r>
    </w:p>
    <w:p>
      <w:pPr>
        <w:tabs>
          <w:tab w:val="left" w:pos="0"/>
        </w:tabs>
        <w:spacing w:line="360" w:lineRule="auto"/>
        <w:ind w:firstLine="480" w:firstLineChars="200"/>
        <w:jc w:val="left"/>
        <w:rPr>
          <w:sz w:val="24"/>
        </w:rPr>
      </w:pPr>
      <w:r>
        <w:rPr>
          <w:rFonts w:hint="eastAsia" w:cs="宋体"/>
          <w:sz w:val="24"/>
        </w:rPr>
        <w:t>在平峰时段实施单点优化控制功能，提高路口平峰时段的放行效率。</w:t>
      </w:r>
    </w:p>
    <w:p>
      <w:pPr>
        <w:tabs>
          <w:tab w:val="left" w:pos="0"/>
        </w:tabs>
        <w:spacing w:line="360" w:lineRule="auto"/>
        <w:ind w:firstLine="480" w:firstLineChars="200"/>
        <w:jc w:val="left"/>
        <w:rPr>
          <w:sz w:val="24"/>
        </w:rPr>
      </w:pPr>
      <w:r>
        <w:rPr>
          <w:rFonts w:hint="eastAsia" w:cs="宋体"/>
          <w:sz w:val="24"/>
        </w:rPr>
        <w:t>单点优化控制功能，其基本思想就是：信号机根据检测器检测的交通信息，包括车流量、时间占有率等计算交叉口的交通负荷，优化信号机的控制周期和绿信比。</w:t>
      </w:r>
    </w:p>
    <w:p>
      <w:pPr>
        <w:tabs>
          <w:tab w:val="left" w:pos="0"/>
        </w:tabs>
        <w:spacing w:line="360" w:lineRule="auto"/>
        <w:ind w:firstLine="480" w:firstLineChars="200"/>
        <w:jc w:val="left"/>
        <w:rPr>
          <w:sz w:val="24"/>
        </w:rPr>
      </w:pPr>
      <w:r>
        <w:rPr>
          <w:rFonts w:hint="eastAsia" w:cs="宋体"/>
          <w:sz w:val="24"/>
        </w:rPr>
        <w:t>单点优化控制的控制参数包括：相位相序方案、周期时长方案和绿信比方案，相位相序方案需要事先按多时段人为指定。</w:t>
      </w:r>
    </w:p>
    <w:p>
      <w:pPr>
        <w:tabs>
          <w:tab w:val="left" w:pos="0"/>
        </w:tabs>
        <w:spacing w:line="360" w:lineRule="auto"/>
        <w:ind w:firstLine="480" w:firstLineChars="200"/>
        <w:jc w:val="left"/>
        <w:rPr>
          <w:sz w:val="24"/>
        </w:rPr>
      </w:pPr>
      <w:r>
        <w:rPr>
          <w:sz w:val="24"/>
        </w:rPr>
        <w:t>5.</w:t>
      </w:r>
      <w:r>
        <w:rPr>
          <w:rFonts w:hint="eastAsia" w:cs="宋体"/>
          <w:sz w:val="24"/>
        </w:rPr>
        <w:t>协调式感应控制</w:t>
      </w:r>
    </w:p>
    <w:p>
      <w:pPr>
        <w:tabs>
          <w:tab w:val="left" w:pos="0"/>
        </w:tabs>
        <w:spacing w:line="360" w:lineRule="auto"/>
        <w:ind w:firstLine="480" w:firstLineChars="200"/>
        <w:jc w:val="left"/>
        <w:rPr>
          <w:sz w:val="24"/>
        </w:rPr>
      </w:pPr>
      <w:r>
        <w:rPr>
          <w:rFonts w:hint="eastAsia" w:cs="宋体"/>
          <w:sz w:val="24"/>
        </w:rPr>
        <w:t>在子区实施感应控制后，可以配合实现绿波控制，系统能够在单点感应控制的基础上实现相邻几个路口的绿波控制。</w:t>
      </w:r>
    </w:p>
    <w:p>
      <w:pPr>
        <w:tabs>
          <w:tab w:val="left" w:pos="0"/>
        </w:tabs>
        <w:spacing w:line="360" w:lineRule="auto"/>
        <w:ind w:firstLine="480" w:firstLineChars="200"/>
        <w:jc w:val="left"/>
        <w:rPr>
          <w:sz w:val="24"/>
        </w:rPr>
      </w:pPr>
      <w:r>
        <w:rPr>
          <w:sz w:val="24"/>
        </w:rPr>
        <w:t>6.</w:t>
      </w:r>
      <w:r>
        <w:rPr>
          <w:rFonts w:hint="eastAsia" w:cs="宋体"/>
          <w:sz w:val="24"/>
        </w:rPr>
        <w:t>协调的区域控制</w:t>
      </w:r>
    </w:p>
    <w:p>
      <w:pPr>
        <w:tabs>
          <w:tab w:val="left" w:pos="0"/>
        </w:tabs>
        <w:spacing w:line="360" w:lineRule="auto"/>
        <w:ind w:firstLine="480" w:firstLineChars="200"/>
        <w:jc w:val="left"/>
        <w:rPr>
          <w:sz w:val="24"/>
        </w:rPr>
      </w:pPr>
      <w:r>
        <w:rPr>
          <w:rFonts w:hint="eastAsia" w:cs="宋体"/>
          <w:sz w:val="24"/>
        </w:rPr>
        <w:t>系统提供灵活的交通管理策略，以实时交通数据为依据，通过对路网内每台联网路口信号机的实时管理，控制路口交通运行，起到缩短行程时间，减少停车次数的作用。</w:t>
      </w:r>
    </w:p>
    <w:p>
      <w:pPr>
        <w:tabs>
          <w:tab w:val="left" w:pos="0"/>
        </w:tabs>
        <w:spacing w:line="360" w:lineRule="auto"/>
        <w:ind w:firstLine="480" w:firstLineChars="200"/>
        <w:jc w:val="left"/>
        <w:rPr>
          <w:sz w:val="24"/>
        </w:rPr>
      </w:pPr>
      <w:r>
        <w:rPr>
          <w:rFonts w:hint="eastAsia" w:cs="宋体"/>
          <w:sz w:val="24"/>
        </w:rPr>
        <w:t>通过检测交通流量、时间占有率和车辆速度等交通信息，信号机能够将上述交通信息上传到控制中心，控制中心根据这些交通信息实时优化交通控制三要素：周期、绿信比和相位差，形成最终的实时自适应区域协调控制方案，并下载到信号机运行，以实现合理控制子区中每个路口的目的。</w:t>
      </w:r>
    </w:p>
    <w:p>
      <w:pPr>
        <w:tabs>
          <w:tab w:val="left" w:pos="0"/>
        </w:tabs>
        <w:spacing w:line="360" w:lineRule="auto"/>
        <w:ind w:firstLine="480" w:firstLineChars="200"/>
        <w:jc w:val="left"/>
        <w:rPr>
          <w:sz w:val="24"/>
        </w:rPr>
      </w:pPr>
      <w:r>
        <w:rPr>
          <w:rFonts w:hint="eastAsia" w:cs="宋体"/>
          <w:sz w:val="24"/>
        </w:rPr>
        <w:t>系统根据控制子区关键交叉口的交通状态，如果交通状态比较类似，即子区关键路口的交通强度类似，自动合并控制子区，实现子区之间的协调控制，如果子区边界交通强度差别很大，控制子区自动断开，执行各自子区的控制方案。</w:t>
      </w:r>
    </w:p>
    <w:p>
      <w:pPr>
        <w:tabs>
          <w:tab w:val="left" w:pos="0"/>
        </w:tabs>
        <w:spacing w:line="360" w:lineRule="auto"/>
        <w:ind w:firstLine="480" w:firstLineChars="200"/>
        <w:jc w:val="left"/>
        <w:rPr>
          <w:sz w:val="24"/>
        </w:rPr>
      </w:pPr>
      <w:r>
        <w:rPr>
          <w:sz w:val="24"/>
        </w:rPr>
        <w:t>7.</w:t>
      </w:r>
      <w:r>
        <w:rPr>
          <w:rFonts w:hint="eastAsia" w:cs="宋体"/>
          <w:sz w:val="24"/>
        </w:rPr>
        <w:t>无电缆线协调控制</w:t>
      </w:r>
    </w:p>
    <w:p>
      <w:pPr>
        <w:tabs>
          <w:tab w:val="left" w:pos="0"/>
        </w:tabs>
        <w:spacing w:line="360" w:lineRule="auto"/>
        <w:ind w:firstLine="480" w:firstLineChars="200"/>
        <w:jc w:val="left"/>
        <w:rPr>
          <w:sz w:val="24"/>
        </w:rPr>
      </w:pPr>
      <w:r>
        <w:rPr>
          <w:rFonts w:hint="eastAsia" w:cs="宋体"/>
          <w:sz w:val="24"/>
        </w:rPr>
        <w:t>利用交通信号控制机自身的时钟进行离线协调，时钟的准确度应保证一天内误差不超过</w:t>
      </w:r>
      <w:r>
        <w:rPr>
          <w:sz w:val="24"/>
        </w:rPr>
        <w:t>1</w:t>
      </w:r>
      <w:r>
        <w:rPr>
          <w:rFonts w:hint="eastAsia" w:cs="宋体"/>
          <w:sz w:val="24"/>
        </w:rPr>
        <w:t>秒，在没有联网或联网中断进行协调控制。能够自动按照时段切换协调方案。协调方案每天不少于</w:t>
      </w:r>
      <w:r>
        <w:rPr>
          <w:sz w:val="24"/>
        </w:rPr>
        <w:t>4</w:t>
      </w:r>
      <w:r>
        <w:rPr>
          <w:rFonts w:hint="eastAsia" w:cs="宋体"/>
          <w:sz w:val="24"/>
        </w:rPr>
        <w:t>组。支持根据时钟同步，通过设定相位差实现的无电缆协调控制，日时段划分不得低于</w:t>
      </w:r>
      <w:r>
        <w:rPr>
          <w:sz w:val="24"/>
        </w:rPr>
        <w:t>40</w:t>
      </w:r>
      <w:r>
        <w:rPr>
          <w:rFonts w:hint="eastAsia" w:cs="宋体"/>
          <w:sz w:val="24"/>
        </w:rPr>
        <w:t>个，方案数不得少于</w:t>
      </w:r>
      <w:r>
        <w:rPr>
          <w:sz w:val="24"/>
        </w:rPr>
        <w:t>108</w:t>
      </w:r>
      <w:r>
        <w:rPr>
          <w:rFonts w:hint="eastAsia" w:cs="宋体"/>
          <w:sz w:val="24"/>
        </w:rPr>
        <w:t>个，不同方案的相位执行顺序可设定。</w:t>
      </w:r>
    </w:p>
    <w:p>
      <w:pPr>
        <w:tabs>
          <w:tab w:val="left" w:pos="0"/>
        </w:tabs>
        <w:spacing w:line="360" w:lineRule="auto"/>
        <w:ind w:firstLine="480" w:firstLineChars="200"/>
        <w:jc w:val="left"/>
        <w:rPr>
          <w:sz w:val="24"/>
        </w:rPr>
      </w:pPr>
      <w:r>
        <w:rPr>
          <w:sz w:val="24"/>
        </w:rPr>
        <w:t>8</w:t>
      </w:r>
      <w:r>
        <w:rPr>
          <w:rFonts w:hint="eastAsia" w:cs="宋体"/>
          <w:sz w:val="24"/>
        </w:rPr>
        <w:t>．面向拥堵路段的瓶颈溢出控制</w:t>
      </w:r>
    </w:p>
    <w:p>
      <w:pPr>
        <w:tabs>
          <w:tab w:val="left" w:pos="0"/>
        </w:tabs>
        <w:spacing w:line="360" w:lineRule="auto"/>
        <w:ind w:firstLine="480" w:firstLineChars="200"/>
        <w:jc w:val="left"/>
        <w:rPr>
          <w:sz w:val="24"/>
        </w:rPr>
      </w:pPr>
      <w:r>
        <w:rPr>
          <w:rFonts w:hint="eastAsia" w:cs="宋体"/>
          <w:sz w:val="24"/>
        </w:rPr>
        <w:t>信号系统具有瓶颈溢出控制功能，即能够及时发现拥堵，避免排队上溯，避免大范围拥堵；减少上游路口绿灯，极限时不放行绿灯；增加下游路口绿灯。</w:t>
      </w:r>
    </w:p>
    <w:p>
      <w:pPr>
        <w:tabs>
          <w:tab w:val="left" w:pos="0"/>
        </w:tabs>
        <w:spacing w:line="360" w:lineRule="auto"/>
        <w:ind w:firstLine="480" w:firstLineChars="200"/>
        <w:jc w:val="left"/>
        <w:rPr>
          <w:sz w:val="24"/>
        </w:rPr>
      </w:pPr>
      <w:r>
        <w:rPr>
          <w:sz w:val="24"/>
        </w:rPr>
        <w:t xml:space="preserve">9. </w:t>
      </w:r>
      <w:r>
        <w:rPr>
          <w:rFonts w:hint="eastAsia" w:cs="宋体"/>
          <w:sz w:val="24"/>
        </w:rPr>
        <w:t>面向拥堵区域的需求控制</w:t>
      </w:r>
    </w:p>
    <w:p>
      <w:pPr>
        <w:tabs>
          <w:tab w:val="left" w:pos="0"/>
        </w:tabs>
        <w:spacing w:line="360" w:lineRule="auto"/>
        <w:ind w:firstLine="480" w:firstLineChars="200"/>
        <w:jc w:val="left"/>
        <w:rPr>
          <w:sz w:val="24"/>
        </w:rPr>
      </w:pPr>
      <w:r>
        <w:rPr>
          <w:rFonts w:hint="eastAsia" w:cs="宋体"/>
          <w:sz w:val="24"/>
        </w:rPr>
        <w:t>信号系统能够提供解决大范围的拥堵控制方法，具备需求控制功能，通过控制区域内的交通强度触发；减少外围进入控制区域的绿灯时间。对于大量过境车辆时要求能够使用该控制功能进行控制。</w:t>
      </w:r>
    </w:p>
    <w:p>
      <w:pPr>
        <w:tabs>
          <w:tab w:val="left" w:pos="0"/>
        </w:tabs>
        <w:spacing w:line="360" w:lineRule="auto"/>
        <w:ind w:firstLine="480" w:firstLineChars="200"/>
        <w:jc w:val="left"/>
        <w:rPr>
          <w:sz w:val="24"/>
        </w:rPr>
      </w:pPr>
      <w:r>
        <w:rPr>
          <w:sz w:val="24"/>
        </w:rPr>
        <w:t xml:space="preserve">10. </w:t>
      </w:r>
      <w:r>
        <w:rPr>
          <w:rFonts w:hint="eastAsia" w:cs="宋体"/>
          <w:sz w:val="24"/>
        </w:rPr>
        <w:t>公交优先</w:t>
      </w:r>
    </w:p>
    <w:p>
      <w:pPr>
        <w:tabs>
          <w:tab w:val="left" w:pos="0"/>
        </w:tabs>
        <w:spacing w:line="360" w:lineRule="auto"/>
        <w:ind w:firstLine="480" w:firstLineChars="200"/>
        <w:jc w:val="left"/>
        <w:rPr>
          <w:sz w:val="24"/>
        </w:rPr>
      </w:pPr>
      <w:r>
        <w:rPr>
          <w:rFonts w:hint="eastAsia" w:cs="宋体"/>
          <w:sz w:val="24"/>
        </w:rPr>
        <w:t>控制系统支持灵活的公交优先控制，能够采用多种不同的公交检测定位方式。公交车优先控制能够通过公交车的定位与信号优化，灵活使用绿灯延长，或快速切换至公交相位，实现公交优先。</w:t>
      </w:r>
    </w:p>
    <w:p>
      <w:pPr>
        <w:tabs>
          <w:tab w:val="left" w:pos="0"/>
        </w:tabs>
        <w:spacing w:line="360" w:lineRule="auto"/>
        <w:ind w:firstLine="480" w:firstLineChars="200"/>
        <w:jc w:val="left"/>
        <w:rPr>
          <w:sz w:val="24"/>
        </w:rPr>
      </w:pPr>
      <w:r>
        <w:rPr>
          <w:rFonts w:hint="eastAsia" w:cs="宋体"/>
          <w:sz w:val="24"/>
        </w:rPr>
        <w:t>绿灯延长实现方式：当检测到公交车信号时，信号机会延长公交车通行方向的相位时间，保证公交车能够通过交叉口。</w:t>
      </w:r>
    </w:p>
    <w:p>
      <w:pPr>
        <w:tabs>
          <w:tab w:val="left" w:pos="0"/>
        </w:tabs>
        <w:spacing w:line="360" w:lineRule="auto"/>
        <w:ind w:firstLine="480" w:firstLineChars="200"/>
        <w:jc w:val="left"/>
        <w:rPr>
          <w:sz w:val="24"/>
        </w:rPr>
      </w:pPr>
      <w:r>
        <w:rPr>
          <w:rFonts w:hint="eastAsia" w:cs="宋体"/>
          <w:sz w:val="24"/>
        </w:rPr>
        <w:t>红灯早断实现方式：信号机检测到公交车信号后，会在保证安全及通行的情况下，提前截止当前相位的红灯时间，把通行权力让给公交车通行的绿灯相位，保证公交车提前通过交叉口。</w:t>
      </w:r>
    </w:p>
    <w:p>
      <w:pPr>
        <w:tabs>
          <w:tab w:val="left" w:pos="0"/>
        </w:tabs>
        <w:spacing w:line="360" w:lineRule="auto"/>
        <w:ind w:firstLine="480" w:firstLineChars="200"/>
        <w:jc w:val="left"/>
        <w:rPr>
          <w:sz w:val="24"/>
        </w:rPr>
      </w:pPr>
      <w:r>
        <w:rPr>
          <w:sz w:val="24"/>
        </w:rPr>
        <w:t>11.</w:t>
      </w:r>
      <w:r>
        <w:rPr>
          <w:rFonts w:hint="eastAsia" w:cs="宋体"/>
          <w:sz w:val="24"/>
        </w:rPr>
        <w:t>特殊控制需求</w:t>
      </w:r>
    </w:p>
    <w:p>
      <w:pPr>
        <w:tabs>
          <w:tab w:val="left" w:pos="0"/>
        </w:tabs>
        <w:spacing w:line="360" w:lineRule="auto"/>
        <w:ind w:firstLine="480" w:firstLineChars="200"/>
        <w:jc w:val="left"/>
        <w:rPr>
          <w:sz w:val="24"/>
        </w:rPr>
      </w:pPr>
      <w:r>
        <w:rPr>
          <w:rFonts w:hint="eastAsia" w:cs="宋体"/>
          <w:sz w:val="24"/>
        </w:rPr>
        <w:t>可执行紧急车辆优先控制、倒记时、可变标志控制等控制功能。</w:t>
      </w:r>
    </w:p>
    <w:p>
      <w:pPr>
        <w:tabs>
          <w:tab w:val="left" w:pos="0"/>
        </w:tabs>
        <w:spacing w:line="360" w:lineRule="auto"/>
        <w:ind w:firstLine="480" w:firstLineChars="200"/>
        <w:jc w:val="left"/>
        <w:rPr>
          <w:sz w:val="24"/>
        </w:rPr>
      </w:pPr>
      <w:r>
        <w:rPr>
          <w:sz w:val="24"/>
        </w:rPr>
        <w:t>1</w:t>
      </w:r>
      <w:r>
        <w:rPr>
          <w:rFonts w:hint="eastAsia" w:cs="宋体"/>
          <w:sz w:val="24"/>
        </w:rPr>
        <w:t>）紧急优先</w:t>
      </w:r>
    </w:p>
    <w:p>
      <w:pPr>
        <w:tabs>
          <w:tab w:val="left" w:pos="0"/>
        </w:tabs>
        <w:spacing w:line="360" w:lineRule="auto"/>
        <w:ind w:firstLine="480" w:firstLineChars="200"/>
        <w:jc w:val="left"/>
        <w:rPr>
          <w:sz w:val="24"/>
        </w:rPr>
      </w:pPr>
      <w:r>
        <w:rPr>
          <w:rFonts w:hint="eastAsia" w:cs="宋体"/>
          <w:sz w:val="24"/>
        </w:rPr>
        <w:t>系统具有紧急车辆控制功能，系统紧急车辆控制的基本思想是：保证紧急车辆顺利通过交叉口，同时减少对社会车辆的影响。</w:t>
      </w:r>
    </w:p>
    <w:p>
      <w:pPr>
        <w:tabs>
          <w:tab w:val="left" w:pos="0"/>
        </w:tabs>
        <w:spacing w:line="360" w:lineRule="auto"/>
        <w:ind w:firstLine="480" w:firstLineChars="200"/>
        <w:jc w:val="left"/>
        <w:rPr>
          <w:sz w:val="24"/>
        </w:rPr>
      </w:pPr>
      <w:r>
        <w:rPr>
          <w:sz w:val="24"/>
        </w:rPr>
        <w:t>12.</w:t>
      </w:r>
      <w:r>
        <w:rPr>
          <w:rFonts w:hint="eastAsia" w:cs="宋体"/>
          <w:sz w:val="24"/>
        </w:rPr>
        <w:t>手动控制</w:t>
      </w:r>
    </w:p>
    <w:p>
      <w:pPr>
        <w:tabs>
          <w:tab w:val="left" w:pos="0"/>
        </w:tabs>
        <w:spacing w:line="360" w:lineRule="auto"/>
        <w:ind w:firstLine="480" w:firstLineChars="200"/>
        <w:jc w:val="left"/>
        <w:rPr>
          <w:sz w:val="24"/>
        </w:rPr>
      </w:pPr>
      <w:r>
        <w:rPr>
          <w:rFonts w:hint="eastAsia" w:cs="宋体"/>
          <w:sz w:val="24"/>
        </w:rPr>
        <w:t>以手动方式进行信号转换、黄闪控制，并有遥控手动接口。手动控制放行序列可定义及调用（可有别于自动放行序列）。</w:t>
      </w:r>
    </w:p>
    <w:p>
      <w:pPr>
        <w:tabs>
          <w:tab w:val="left" w:pos="0"/>
        </w:tabs>
        <w:spacing w:line="360" w:lineRule="auto"/>
        <w:ind w:firstLine="480" w:firstLineChars="200"/>
        <w:jc w:val="left"/>
        <w:rPr>
          <w:sz w:val="24"/>
        </w:rPr>
      </w:pPr>
      <w:r>
        <w:rPr>
          <w:sz w:val="24"/>
        </w:rPr>
        <w:t>13.</w:t>
      </w:r>
      <w:r>
        <w:rPr>
          <w:rFonts w:hint="eastAsia" w:cs="宋体"/>
          <w:sz w:val="24"/>
        </w:rPr>
        <w:t>勤务控制</w:t>
      </w:r>
    </w:p>
    <w:p>
      <w:pPr>
        <w:tabs>
          <w:tab w:val="left" w:pos="0"/>
        </w:tabs>
        <w:spacing w:line="360" w:lineRule="auto"/>
        <w:ind w:firstLine="480" w:firstLineChars="200"/>
        <w:jc w:val="left"/>
        <w:rPr>
          <w:sz w:val="24"/>
        </w:rPr>
      </w:pPr>
      <w:r>
        <w:rPr>
          <w:rFonts w:hint="eastAsia" w:cs="宋体"/>
          <w:sz w:val="24"/>
        </w:rPr>
        <w:t>交通信号控制系统具有勤务预案控制功能，系统能够保存不少于</w:t>
      </w:r>
      <w:r>
        <w:rPr>
          <w:sz w:val="24"/>
        </w:rPr>
        <w:t>100</w:t>
      </w:r>
      <w:r>
        <w:rPr>
          <w:rFonts w:hint="eastAsia" w:cs="宋体"/>
          <w:sz w:val="24"/>
        </w:rPr>
        <w:t>个勤务预案的方案，系统能够根据不同的勤务级别从方案库中选择勤务预案。</w:t>
      </w:r>
    </w:p>
    <w:p>
      <w:pPr>
        <w:tabs>
          <w:tab w:val="left" w:pos="0"/>
        </w:tabs>
        <w:spacing w:line="360" w:lineRule="auto"/>
        <w:ind w:firstLine="480" w:firstLineChars="200"/>
        <w:jc w:val="left"/>
        <w:rPr>
          <w:sz w:val="24"/>
        </w:rPr>
      </w:pPr>
      <w:r>
        <w:rPr>
          <w:sz w:val="24"/>
        </w:rPr>
        <w:t>1</w:t>
      </w:r>
      <w:r>
        <w:rPr>
          <w:rFonts w:hint="eastAsia"/>
          <w:sz w:val="24"/>
        </w:rPr>
        <w:t>4</w:t>
      </w:r>
      <w:r>
        <w:rPr>
          <w:sz w:val="24"/>
        </w:rPr>
        <w:t>.</w:t>
      </w:r>
      <w:r>
        <w:rPr>
          <w:rFonts w:hint="eastAsia" w:cs="宋体"/>
          <w:sz w:val="24"/>
        </w:rPr>
        <w:t>联网控制</w:t>
      </w:r>
    </w:p>
    <w:p>
      <w:pPr>
        <w:spacing w:line="360" w:lineRule="auto"/>
        <w:ind w:firstLine="480" w:firstLineChars="200"/>
        <w:rPr>
          <w:sz w:val="24"/>
        </w:rPr>
      </w:pPr>
      <w:r>
        <w:rPr>
          <w:rFonts w:hint="eastAsia" w:cs="宋体"/>
          <w:sz w:val="24"/>
        </w:rPr>
        <w:t>能够通过以太网口和串口与控制中心联网，实现系统的联网控制，应满足至少</w:t>
      </w:r>
      <w:r>
        <w:rPr>
          <w:sz w:val="24"/>
        </w:rPr>
        <w:t>500</w:t>
      </w:r>
      <w:r>
        <w:rPr>
          <w:rFonts w:hint="eastAsia" w:cs="宋体"/>
          <w:sz w:val="24"/>
        </w:rPr>
        <w:t>个路口的控制功能，</w:t>
      </w:r>
      <w:r>
        <w:rPr>
          <w:sz w:val="24"/>
        </w:rPr>
        <w:t>100</w:t>
      </w:r>
      <w:r>
        <w:rPr>
          <w:rFonts w:hint="eastAsia" w:cs="宋体"/>
          <w:sz w:val="24"/>
        </w:rPr>
        <w:t>个子区划分，每台联网路口信号机都能够接收并响应控制中心的命令控制路口交通运行。</w:t>
      </w:r>
    </w:p>
    <w:p>
      <w:pPr>
        <w:spacing w:line="360" w:lineRule="auto"/>
        <w:outlineLvl w:val="1"/>
        <w:rPr>
          <w:rFonts w:ascii="宋体" w:hAnsi="宋体"/>
          <w:b/>
          <w:bCs/>
          <w:sz w:val="24"/>
        </w:rPr>
      </w:pPr>
      <w:r>
        <w:rPr>
          <w:rFonts w:ascii="宋体" w:hAnsi="宋体"/>
          <w:b/>
          <w:bCs/>
          <w:sz w:val="24"/>
        </w:rPr>
        <w:t>5</w:t>
      </w:r>
      <w:r>
        <w:rPr>
          <w:rFonts w:hint="eastAsia" w:ascii="宋体" w:hAnsi="宋体"/>
          <w:b/>
          <w:bCs/>
          <w:sz w:val="24"/>
        </w:rPr>
        <w:t>.3信号灯设施设计</w:t>
      </w:r>
    </w:p>
    <w:p>
      <w:pPr>
        <w:spacing w:line="360" w:lineRule="auto"/>
        <w:ind w:firstLine="480" w:firstLineChars="200"/>
        <w:rPr>
          <w:rFonts w:ascii="宋体" w:hAnsi="宋体" w:cs="宋体"/>
          <w:sz w:val="24"/>
        </w:rPr>
      </w:pPr>
      <w:r>
        <w:rPr>
          <w:rFonts w:hint="eastAsia" w:ascii="宋体" w:hAnsi="宋体" w:cs="宋体"/>
          <w:sz w:val="24"/>
        </w:rPr>
        <w:t>本项目中选择使用的交通信号灯的依据为GB14887-2011《道路交通信号灯》，信号灯的发光单元采用LED光源。LED灯板部分采用一灯一电阻式，可以有效保护每颗LED；即使有一颗LED坏死只会是一颗灯不亮，也不会影响其他LED的正常，出现整串坏死现象；灯具样式要求如下：</w:t>
      </w:r>
    </w:p>
    <w:p>
      <w:pPr>
        <w:pStyle w:val="35"/>
        <w:numPr>
          <w:ilvl w:val="0"/>
          <w:numId w:val="6"/>
        </w:numPr>
        <w:spacing w:line="360" w:lineRule="auto"/>
        <w:ind w:firstLineChars="0"/>
        <w:rPr>
          <w:rFonts w:ascii="宋体" w:hAnsi="宋体"/>
          <w:sz w:val="24"/>
        </w:rPr>
      </w:pPr>
      <w:r>
        <w:rPr>
          <w:rFonts w:ascii="宋体" w:hAnsi="宋体"/>
          <w:sz w:val="24"/>
        </w:rPr>
        <w:t>机动车信号灯</w:t>
      </w:r>
    </w:p>
    <w:p>
      <w:pPr>
        <w:pStyle w:val="35"/>
        <w:spacing w:line="360" w:lineRule="auto"/>
        <w:ind w:left="1190" w:firstLine="0" w:firstLineChars="0"/>
        <w:rPr>
          <w:rFonts w:ascii="宋体" w:hAnsi="宋体"/>
          <w:sz w:val="24"/>
        </w:rPr>
      </w:pPr>
      <w:r>
        <w:rPr>
          <w:rFonts w:hint="eastAsia" w:ascii="宋体" w:hAnsi="宋体"/>
          <w:sz w:val="24"/>
        </w:rPr>
        <w:t>相关技术参数详见工程量清单。</w:t>
      </w:r>
    </w:p>
    <w:p>
      <w:pPr>
        <w:pStyle w:val="35"/>
        <w:numPr>
          <w:ilvl w:val="0"/>
          <w:numId w:val="6"/>
        </w:numPr>
        <w:spacing w:line="360" w:lineRule="auto"/>
        <w:ind w:firstLineChars="0"/>
        <w:rPr>
          <w:rFonts w:ascii="宋体" w:hAnsi="宋体"/>
          <w:sz w:val="24"/>
        </w:rPr>
      </w:pPr>
      <w:r>
        <w:rPr>
          <w:rFonts w:ascii="宋体" w:hAnsi="宋体"/>
          <w:sz w:val="24"/>
        </w:rPr>
        <w:t>方向指示信号灯</w:t>
      </w:r>
    </w:p>
    <w:p>
      <w:pPr>
        <w:pStyle w:val="35"/>
        <w:spacing w:line="360" w:lineRule="auto"/>
        <w:ind w:left="1190" w:firstLine="0" w:firstLineChars="0"/>
        <w:rPr>
          <w:rFonts w:ascii="宋体" w:hAnsi="宋体"/>
          <w:sz w:val="24"/>
        </w:rPr>
      </w:pPr>
      <w:r>
        <w:rPr>
          <w:rFonts w:hint="eastAsia" w:ascii="宋体" w:hAnsi="宋体"/>
          <w:sz w:val="24"/>
        </w:rPr>
        <w:t>相关技术参数详见工程量清单。</w:t>
      </w:r>
    </w:p>
    <w:p>
      <w:pPr>
        <w:pStyle w:val="35"/>
        <w:numPr>
          <w:ilvl w:val="0"/>
          <w:numId w:val="6"/>
        </w:numPr>
        <w:spacing w:line="360" w:lineRule="auto"/>
        <w:ind w:firstLineChars="0"/>
        <w:rPr>
          <w:rFonts w:ascii="宋体" w:hAnsi="宋体"/>
          <w:sz w:val="24"/>
        </w:rPr>
      </w:pPr>
      <w:r>
        <w:rPr>
          <w:rFonts w:hint="eastAsia" w:ascii="宋体" w:hAnsi="宋体"/>
          <w:sz w:val="24"/>
        </w:rPr>
        <w:t>机动车倒计时</w:t>
      </w:r>
    </w:p>
    <w:p>
      <w:pPr>
        <w:pStyle w:val="35"/>
        <w:spacing w:line="360" w:lineRule="auto"/>
        <w:ind w:left="1190" w:firstLine="0" w:firstLineChars="0"/>
        <w:rPr>
          <w:rFonts w:ascii="宋体" w:hAnsi="宋体"/>
          <w:sz w:val="24"/>
        </w:rPr>
      </w:pPr>
      <w:r>
        <w:rPr>
          <w:rFonts w:hint="eastAsia" w:ascii="宋体" w:hAnsi="宋体"/>
          <w:sz w:val="24"/>
        </w:rPr>
        <w:t>相关技术参数详见工程量清单。</w:t>
      </w:r>
    </w:p>
    <w:p>
      <w:pPr>
        <w:pStyle w:val="35"/>
        <w:numPr>
          <w:ilvl w:val="0"/>
          <w:numId w:val="6"/>
        </w:numPr>
        <w:spacing w:line="360" w:lineRule="auto"/>
        <w:ind w:firstLineChars="0"/>
        <w:rPr>
          <w:rFonts w:ascii="宋体" w:hAnsi="宋体"/>
          <w:sz w:val="24"/>
        </w:rPr>
      </w:pPr>
      <w:r>
        <w:rPr>
          <w:rFonts w:ascii="宋体" w:hAnsi="宋体"/>
          <w:sz w:val="24"/>
        </w:rPr>
        <w:t>人行信号灯</w:t>
      </w:r>
    </w:p>
    <w:p>
      <w:pPr>
        <w:pStyle w:val="35"/>
        <w:spacing w:line="360" w:lineRule="auto"/>
        <w:ind w:left="1190" w:firstLine="0" w:firstLineChars="0"/>
        <w:rPr>
          <w:rFonts w:ascii="宋体" w:hAnsi="宋体"/>
          <w:sz w:val="24"/>
        </w:rPr>
      </w:pPr>
      <w:r>
        <w:rPr>
          <w:rFonts w:hint="eastAsia" w:ascii="宋体" w:hAnsi="宋体"/>
          <w:sz w:val="24"/>
        </w:rPr>
        <w:t>相关技术参数详见工程量清单。</w:t>
      </w:r>
    </w:p>
    <w:p>
      <w:pPr>
        <w:pStyle w:val="35"/>
        <w:numPr>
          <w:ilvl w:val="0"/>
          <w:numId w:val="6"/>
        </w:numPr>
        <w:spacing w:line="360" w:lineRule="auto"/>
        <w:ind w:firstLineChars="0"/>
        <w:rPr>
          <w:rFonts w:ascii="宋体" w:hAnsi="宋体" w:cs="宋体"/>
          <w:sz w:val="24"/>
        </w:rPr>
      </w:pPr>
      <w:r>
        <w:rPr>
          <w:rFonts w:hint="eastAsia" w:ascii="宋体" w:hAnsi="宋体" w:cs="宋体"/>
          <w:sz w:val="24"/>
        </w:rPr>
        <w:t>信号灯杆</w:t>
      </w:r>
    </w:p>
    <w:p>
      <w:pPr>
        <w:pStyle w:val="35"/>
        <w:spacing w:line="360" w:lineRule="auto"/>
        <w:ind w:left="1190" w:firstLine="0" w:firstLineChars="0"/>
        <w:rPr>
          <w:rFonts w:ascii="宋体" w:hAnsi="宋体" w:cs="宋体"/>
          <w:sz w:val="24"/>
        </w:rPr>
      </w:pPr>
      <w:r>
        <w:rPr>
          <w:rFonts w:hint="eastAsia" w:ascii="宋体" w:hAnsi="宋体" w:cs="宋体"/>
          <w:sz w:val="24"/>
        </w:rPr>
        <w:t>人行信号灯杆及车行信号灯杆：详见工程量清单。</w:t>
      </w:r>
    </w:p>
    <w:p>
      <w:pPr>
        <w:spacing w:line="360" w:lineRule="auto"/>
        <w:ind w:firstLine="480" w:firstLineChars="200"/>
        <w:rPr>
          <w:rFonts w:ascii="宋体" w:hAnsi="宋体" w:cs="宋体"/>
          <w:sz w:val="24"/>
        </w:rPr>
      </w:pPr>
      <w:r>
        <w:rPr>
          <w:rFonts w:hint="eastAsia" w:ascii="宋体" w:hAnsi="宋体"/>
          <w:sz w:val="24"/>
        </w:rPr>
        <w:t>（6）</w:t>
      </w:r>
      <w:r>
        <w:rPr>
          <w:rFonts w:hint="eastAsia" w:ascii="宋体" w:hAnsi="宋体" w:cs="宋体"/>
          <w:sz w:val="24"/>
        </w:rPr>
        <w:t>信号灯结构由信号灯、支柱、基础、紧固件等组成；信号灯与立柱横梁通过抱箍底衬连接；立柱、横梁采用Q235B钢，立柱与横梁大小的选择依据国标关于结构设计的要求进行计算设计。</w:t>
      </w:r>
    </w:p>
    <w:p>
      <w:pPr>
        <w:spacing w:line="360" w:lineRule="auto"/>
        <w:ind w:firstLine="480" w:firstLineChars="200"/>
        <w:rPr>
          <w:rFonts w:ascii="宋体" w:hAnsi="宋体" w:cs="宋体"/>
          <w:sz w:val="24"/>
        </w:rPr>
      </w:pPr>
      <w:r>
        <w:rPr>
          <w:rFonts w:hint="eastAsia" w:ascii="宋体" w:hAnsi="宋体" w:cs="宋体"/>
          <w:sz w:val="24"/>
        </w:rPr>
        <w:t>（7）立柱、横梁、法兰盘、抱箍、抱箍底衬、柱帽、加劲肋及连接螺栓、螺母、垫圈等钢铁件，采用热浸锌进行防锈处理，立柱、横梁、法兰盘的镀锌量为600g/m</w:t>
      </w:r>
      <w:r>
        <w:rPr>
          <w:rFonts w:hint="eastAsia" w:ascii="宋体" w:hAnsi="宋体" w:cs="宋体"/>
          <w:sz w:val="24"/>
          <w:vertAlign w:val="superscript"/>
        </w:rPr>
        <w:t>2</w:t>
      </w:r>
      <w:r>
        <w:rPr>
          <w:rFonts w:hint="eastAsia" w:ascii="宋体" w:hAnsi="宋体" w:cs="宋体"/>
          <w:sz w:val="24"/>
        </w:rPr>
        <w:t>；紧固件为350g/m</w:t>
      </w:r>
      <w:r>
        <w:rPr>
          <w:rFonts w:hint="eastAsia" w:ascii="宋体" w:hAnsi="宋体" w:cs="宋体"/>
          <w:sz w:val="24"/>
          <w:vertAlign w:val="superscript"/>
        </w:rPr>
        <w:t>2</w:t>
      </w:r>
      <w:r>
        <w:rPr>
          <w:rFonts w:hint="eastAsia" w:ascii="宋体" w:hAnsi="宋体" w:cs="宋体"/>
          <w:sz w:val="24"/>
        </w:rPr>
        <w:t>；所有的贴角焊缝，其厚度和强度应与被焊构件相等，焊缝应打磨光滑。</w:t>
      </w:r>
    </w:p>
    <w:p>
      <w:pPr>
        <w:spacing w:line="360" w:lineRule="auto"/>
        <w:ind w:firstLine="470" w:firstLineChars="196"/>
        <w:rPr>
          <w:rFonts w:ascii="宋体" w:hAnsi="宋体" w:cs="宋体"/>
          <w:sz w:val="24"/>
        </w:rPr>
      </w:pPr>
      <w:r>
        <w:rPr>
          <w:rFonts w:hint="eastAsia" w:ascii="宋体" w:hAnsi="宋体" w:cs="宋体"/>
          <w:sz w:val="24"/>
        </w:rPr>
        <w:t>（8）信号灯管线</w:t>
      </w:r>
    </w:p>
    <w:p>
      <w:pPr>
        <w:spacing w:line="360" w:lineRule="auto"/>
        <w:ind w:firstLine="480" w:firstLineChars="200"/>
        <w:rPr>
          <w:rFonts w:ascii="宋体" w:hAnsi="宋体" w:cs="宋体"/>
          <w:sz w:val="24"/>
        </w:rPr>
      </w:pPr>
      <w:r>
        <w:rPr>
          <w:rFonts w:hint="eastAsia" w:ascii="宋体" w:hAnsi="宋体" w:cs="宋体"/>
          <w:sz w:val="24"/>
        </w:rPr>
        <w:t>车行信号灯控制线、人行信号灯控制线、主电源线等采用的规格详见工程量清单。</w:t>
      </w:r>
    </w:p>
    <w:p>
      <w:pPr>
        <w:spacing w:line="360" w:lineRule="auto"/>
        <w:ind w:firstLine="480" w:firstLineChars="200"/>
        <w:rPr>
          <w:rFonts w:ascii="宋体" w:hAnsi="宋体" w:cs="宋体"/>
          <w:sz w:val="24"/>
        </w:rPr>
      </w:pPr>
      <w:r>
        <w:rPr>
          <w:rFonts w:hint="eastAsia" w:ascii="宋体" w:hAnsi="宋体" w:cs="宋体"/>
          <w:sz w:val="24"/>
        </w:rPr>
        <w:t>每组信号灯必须单独放线至信号机控制箱，并预留一股电源线和一股控制线。</w:t>
      </w:r>
    </w:p>
    <w:p>
      <w:pPr>
        <w:spacing w:line="360" w:lineRule="auto"/>
        <w:ind w:firstLine="480" w:firstLineChars="200"/>
        <w:rPr>
          <w:rFonts w:ascii="宋体" w:hAnsi="宋体" w:cs="宋体"/>
          <w:sz w:val="24"/>
        </w:rPr>
      </w:pPr>
      <w:r>
        <w:rPr>
          <w:rFonts w:hint="eastAsia" w:ascii="宋体" w:hAnsi="宋体" w:cs="宋体"/>
          <w:sz w:val="24"/>
        </w:rPr>
        <w:t>人行道穿线管沿人行道每3m包封一处，每处包封长0.3m；车行道穿线管沿车行道通长包封。</w:t>
      </w:r>
    </w:p>
    <w:p>
      <w:pPr>
        <w:spacing w:line="360" w:lineRule="auto"/>
        <w:outlineLvl w:val="1"/>
        <w:rPr>
          <w:rFonts w:ascii="宋体" w:hAnsi="宋体"/>
          <w:b/>
          <w:bCs/>
          <w:sz w:val="24"/>
        </w:rPr>
      </w:pPr>
      <w:r>
        <w:rPr>
          <w:rFonts w:ascii="宋体" w:hAnsi="宋体"/>
          <w:b/>
          <w:bCs/>
          <w:sz w:val="24"/>
        </w:rPr>
        <w:t>5</w:t>
      </w:r>
      <w:r>
        <w:rPr>
          <w:rFonts w:hint="eastAsia" w:ascii="宋体" w:hAnsi="宋体"/>
          <w:b/>
          <w:bCs/>
          <w:sz w:val="24"/>
        </w:rPr>
        <w:t>.4施工技术要求</w:t>
      </w:r>
    </w:p>
    <w:p>
      <w:pPr>
        <w:spacing w:line="360" w:lineRule="auto"/>
        <w:ind w:firstLine="480" w:firstLineChars="200"/>
        <w:outlineLvl w:val="2"/>
        <w:rPr>
          <w:rFonts w:ascii="宋体" w:hAnsi="宋体"/>
          <w:b/>
          <w:bCs/>
          <w:sz w:val="24"/>
        </w:rPr>
      </w:pPr>
      <w:r>
        <w:rPr>
          <w:rFonts w:ascii="宋体" w:hAnsi="宋体"/>
          <w:b/>
          <w:bCs/>
          <w:sz w:val="24"/>
        </w:rPr>
        <w:t>5</w:t>
      </w:r>
      <w:r>
        <w:rPr>
          <w:rFonts w:hint="eastAsia" w:ascii="宋体" w:hAnsi="宋体"/>
          <w:b/>
          <w:bCs/>
          <w:sz w:val="24"/>
        </w:rPr>
        <w:t>.4.1信号灯杆</w:t>
      </w:r>
    </w:p>
    <w:p>
      <w:pPr>
        <w:tabs>
          <w:tab w:val="left" w:pos="0"/>
        </w:tabs>
        <w:spacing w:line="360" w:lineRule="auto"/>
        <w:ind w:firstLine="480" w:firstLineChars="200"/>
        <w:jc w:val="left"/>
        <w:rPr>
          <w:sz w:val="24"/>
        </w:rPr>
      </w:pPr>
      <w:r>
        <w:rPr>
          <w:rFonts w:hint="eastAsia" w:cs="宋体"/>
          <w:sz w:val="24"/>
        </w:rPr>
        <w:t>信号灯的施工技术要求必须符合《道路交通信号灯》（</w:t>
      </w:r>
      <w:r>
        <w:rPr>
          <w:sz w:val="24"/>
        </w:rPr>
        <w:t>GB14887-2011</w:t>
      </w:r>
      <w:r>
        <w:rPr>
          <w:rFonts w:hint="eastAsia" w:cs="宋体"/>
          <w:sz w:val="24"/>
        </w:rPr>
        <w:t>）及</w:t>
      </w:r>
      <w:r>
        <w:rPr>
          <w:rFonts w:cs="宋体"/>
          <w:sz w:val="24"/>
        </w:rPr>
        <w:t></w:t>
      </w:r>
      <w:r>
        <w:rPr>
          <w:rFonts w:cs="宋体"/>
          <w:sz w:val="24"/>
        </w:rPr>
        <w:tab/>
      </w:r>
      <w:r>
        <w:rPr>
          <w:rFonts w:hint="eastAsia" w:cs="宋体"/>
          <w:sz w:val="24"/>
        </w:rPr>
        <w:t>《道路交通信号灯设置与安装规范》（</w:t>
      </w:r>
      <w:r>
        <w:rPr>
          <w:rFonts w:cs="宋体"/>
          <w:sz w:val="24"/>
        </w:rPr>
        <w:t>GB 14886-2016</w:t>
      </w:r>
      <w:r>
        <w:rPr>
          <w:rFonts w:hint="eastAsia" w:cs="宋体"/>
          <w:sz w:val="24"/>
        </w:rPr>
        <w:t>）相关规定，没有机动车隔离带和非机动车道隔离带的道路，对向信号灯灯杆宜安装在路缘线切点附近；设有机动车道和非机动车道隔离带的道路，在隔离带的宽度允许情况下，对向信号灯灯杆宜安装在机非隔离带缘头切点向后</w:t>
      </w:r>
      <w:r>
        <w:rPr>
          <w:sz w:val="24"/>
        </w:rPr>
        <w:t>2</w:t>
      </w:r>
      <w:r>
        <w:rPr>
          <w:rFonts w:hint="eastAsia" w:cs="宋体"/>
          <w:sz w:val="24"/>
        </w:rPr>
        <w:t>米以内。在较大的平交路口划有左弯待转区的，进入左弯待转区的车辆不容易观察到本方位的对向信号灯的变化时，在待行区对向增设一组左转方向指示信号灯。</w:t>
      </w:r>
    </w:p>
    <w:p>
      <w:pPr>
        <w:tabs>
          <w:tab w:val="left" w:pos="0"/>
        </w:tabs>
        <w:spacing w:line="360" w:lineRule="auto"/>
        <w:ind w:firstLine="480" w:firstLineChars="200"/>
        <w:jc w:val="left"/>
        <w:rPr>
          <w:sz w:val="24"/>
        </w:rPr>
      </w:pPr>
      <w:r>
        <w:rPr>
          <w:rFonts w:hint="eastAsia" w:cs="宋体"/>
          <w:sz w:val="24"/>
        </w:rPr>
        <w:t>同一路口的信号灯杆安装高度（从光源到地面）、仰角宜保持一致，并保证车辆在距离停车线</w:t>
      </w:r>
      <w:r>
        <w:rPr>
          <w:sz w:val="24"/>
        </w:rPr>
        <w:t>65</w:t>
      </w:r>
      <w:r>
        <w:rPr>
          <w:rFonts w:hint="eastAsia" w:cs="宋体"/>
          <w:sz w:val="24"/>
        </w:rPr>
        <w:t>米范围内均能能清晰观察到信号灯。指导机动车通行信号灯的安装方位，应使信号灯基准轴与地面平行，基准轴的垂面通过所控机动车道停车线后</w:t>
      </w:r>
      <w:r>
        <w:rPr>
          <w:sz w:val="24"/>
        </w:rPr>
        <w:t>60</w:t>
      </w:r>
      <w:r>
        <w:rPr>
          <w:rFonts w:hint="eastAsia" w:cs="宋体"/>
          <w:sz w:val="24"/>
        </w:rPr>
        <w:t>米处中心点。人行横道信号灯（若有）的安装方位，应使信号灯基准轴与地面平行，基准轴的垂面通过所控人行横道边界线中点。</w:t>
      </w:r>
    </w:p>
    <w:p>
      <w:pPr>
        <w:spacing w:line="360" w:lineRule="auto"/>
        <w:ind w:firstLine="480" w:firstLineChars="200"/>
        <w:rPr>
          <w:rFonts w:ascii="宋体" w:hAnsi="宋体" w:cs="宋体"/>
          <w:sz w:val="24"/>
        </w:rPr>
      </w:pPr>
      <w:r>
        <w:rPr>
          <w:rFonts w:hint="eastAsia" w:ascii="宋体" w:hAnsi="宋体" w:cs="宋体"/>
          <w:sz w:val="24"/>
        </w:rPr>
        <w:t>在浇筑混凝土时，应注意使底座法兰盘与基础对中，并将其嵌进基础（其上表面与基础平齐），同时保持其顶面水平。</w:t>
      </w:r>
    </w:p>
    <w:p>
      <w:pPr>
        <w:spacing w:line="360" w:lineRule="auto"/>
        <w:ind w:firstLine="480" w:firstLineChars="200"/>
        <w:rPr>
          <w:rFonts w:ascii="宋体" w:hAnsi="宋体" w:cs="宋体"/>
          <w:sz w:val="24"/>
        </w:rPr>
      </w:pPr>
      <w:r>
        <w:rPr>
          <w:rFonts w:hint="eastAsia" w:ascii="宋体" w:hAnsi="宋体" w:cs="宋体"/>
          <w:sz w:val="24"/>
        </w:rPr>
        <w:t>地脚下部为标准弯钩，地脚螺栓宜事先进行热浸锌处理，镀锌量350g/m</w:t>
      </w:r>
      <w:r>
        <w:rPr>
          <w:rFonts w:hint="eastAsia" w:ascii="宋体" w:hAnsi="宋体" w:cs="宋体"/>
          <w:sz w:val="24"/>
          <w:vertAlign w:val="superscript"/>
        </w:rPr>
        <w:t>2</w:t>
      </w:r>
      <w:r>
        <w:rPr>
          <w:rFonts w:hint="eastAsia" w:ascii="宋体" w:hAnsi="宋体" w:cs="宋体"/>
          <w:sz w:val="24"/>
        </w:rPr>
        <w:t>，预埋时其方向应与底座法兰盘保持垂直。</w:t>
      </w:r>
    </w:p>
    <w:p>
      <w:pPr>
        <w:spacing w:line="360" w:lineRule="auto"/>
        <w:ind w:firstLine="480" w:firstLineChars="200"/>
        <w:rPr>
          <w:rFonts w:ascii="宋体" w:hAnsi="宋体" w:cs="宋体"/>
          <w:sz w:val="24"/>
        </w:rPr>
      </w:pPr>
      <w:r>
        <w:rPr>
          <w:rFonts w:hint="eastAsia" w:ascii="宋体" w:hAnsi="宋体" w:cs="宋体"/>
          <w:sz w:val="24"/>
        </w:rPr>
        <w:t>施工时如果遇到平曲线段，应注意调整预埋法兰盘的方向，使其纵向中心线与行车方向保持一致。</w:t>
      </w:r>
    </w:p>
    <w:p>
      <w:pPr>
        <w:spacing w:line="360" w:lineRule="auto"/>
        <w:ind w:firstLine="480" w:firstLineChars="200"/>
        <w:rPr>
          <w:rFonts w:ascii="宋体" w:hAnsi="宋体" w:cs="宋体"/>
          <w:sz w:val="24"/>
        </w:rPr>
      </w:pPr>
      <w:r>
        <w:rPr>
          <w:rFonts w:hint="eastAsia" w:ascii="宋体" w:hAnsi="宋体" w:cs="宋体"/>
          <w:sz w:val="24"/>
        </w:rPr>
        <w:t>基础施工完毕，地脚螺栓外露长度宜控制在80-100mm以内，并对外露螺纹部分加以妥善保护，另外基坑应分层回填夯实；基础需经养护达到设计强度后，方可安装上部结构物。</w:t>
      </w:r>
    </w:p>
    <w:p>
      <w:pPr>
        <w:spacing w:line="360" w:lineRule="auto"/>
        <w:ind w:firstLine="480" w:firstLineChars="200"/>
        <w:rPr>
          <w:rFonts w:ascii="宋体" w:hAnsi="宋体" w:cs="宋体"/>
          <w:sz w:val="24"/>
        </w:rPr>
      </w:pPr>
      <w:r>
        <w:rPr>
          <w:rFonts w:hint="eastAsia" w:ascii="宋体" w:hAnsi="宋体" w:cs="宋体"/>
          <w:sz w:val="24"/>
        </w:rPr>
        <w:t>基础预埋时必须考虑立柱或立柱附着标志其倾向净空应符合GB5768-20</w:t>
      </w:r>
      <w:r>
        <w:rPr>
          <w:rFonts w:ascii="宋体" w:hAnsi="宋体" w:cs="宋体"/>
          <w:sz w:val="24"/>
        </w:rPr>
        <w:t>22</w:t>
      </w:r>
      <w:r>
        <w:rPr>
          <w:rFonts w:hint="eastAsia" w:ascii="宋体" w:hAnsi="宋体" w:cs="宋体"/>
          <w:sz w:val="24"/>
        </w:rPr>
        <w:t>的规定。</w:t>
      </w:r>
    </w:p>
    <w:p>
      <w:pPr>
        <w:tabs>
          <w:tab w:val="left" w:pos="0"/>
        </w:tabs>
        <w:spacing w:line="360" w:lineRule="auto"/>
        <w:ind w:firstLine="480" w:firstLineChars="200"/>
        <w:jc w:val="left"/>
        <w:rPr>
          <w:sz w:val="24"/>
        </w:rPr>
      </w:pPr>
      <w:r>
        <w:rPr>
          <w:rFonts w:hint="eastAsia" w:cs="宋体"/>
          <w:sz w:val="24"/>
        </w:rPr>
        <w:t>悬臂式机动车灯杆的基础位置</w:t>
      </w:r>
      <w:r>
        <w:rPr>
          <w:sz w:val="24"/>
        </w:rPr>
        <w:t>(</w:t>
      </w:r>
      <w:r>
        <w:rPr>
          <w:rFonts w:hint="eastAsia" w:cs="宋体"/>
          <w:sz w:val="24"/>
        </w:rPr>
        <w:t>尤其悬臂背后</w:t>
      </w:r>
      <w:r>
        <w:rPr>
          <w:sz w:val="24"/>
        </w:rPr>
        <w:t>)</w:t>
      </w:r>
      <w:r>
        <w:rPr>
          <w:rFonts w:hint="eastAsia" w:cs="宋体"/>
          <w:sz w:val="24"/>
        </w:rPr>
        <w:t>应尽量远离电力浅沟、窨井等，同时与路灯杆、电杆、行道树等相协调。</w:t>
      </w:r>
    </w:p>
    <w:p>
      <w:pPr>
        <w:tabs>
          <w:tab w:val="left" w:pos="0"/>
        </w:tabs>
        <w:spacing w:line="360" w:lineRule="auto"/>
        <w:ind w:firstLine="480" w:firstLineChars="200"/>
        <w:jc w:val="left"/>
        <w:rPr>
          <w:sz w:val="24"/>
        </w:rPr>
      </w:pPr>
      <w:r>
        <w:rPr>
          <w:rFonts w:hint="eastAsia" w:cs="宋体"/>
          <w:sz w:val="24"/>
        </w:rPr>
        <w:t>设置的信号灯和灯杆不应侵入道路通行净空限界范围。</w:t>
      </w:r>
    </w:p>
    <w:p>
      <w:pPr>
        <w:tabs>
          <w:tab w:val="left" w:pos="0"/>
        </w:tabs>
        <w:spacing w:line="360" w:lineRule="auto"/>
        <w:ind w:firstLine="480" w:firstLineChars="200"/>
        <w:jc w:val="left"/>
        <w:rPr>
          <w:sz w:val="24"/>
        </w:rPr>
      </w:pPr>
      <w:r>
        <w:rPr>
          <w:rFonts w:hint="eastAsia" w:cs="宋体"/>
          <w:sz w:val="24"/>
        </w:rPr>
        <w:t>车行信号灯采用悬臂式或者门架式安装时，高度为</w:t>
      </w:r>
      <w:r>
        <w:rPr>
          <w:sz w:val="24"/>
        </w:rPr>
        <w:t>6m-7m</w:t>
      </w:r>
      <w:r>
        <w:rPr>
          <w:rFonts w:hint="eastAsia" w:cs="宋体"/>
          <w:sz w:val="24"/>
        </w:rPr>
        <w:t>。采用立柱式安装时，高度为</w:t>
      </w:r>
      <w:r>
        <w:rPr>
          <w:sz w:val="24"/>
        </w:rPr>
        <w:t>3m-7m</w:t>
      </w:r>
      <w:r>
        <w:rPr>
          <w:rFonts w:hint="eastAsia" w:cs="宋体"/>
          <w:sz w:val="24"/>
        </w:rPr>
        <w:t>；人行道信号灯安装高度为</w:t>
      </w:r>
      <w:r>
        <w:rPr>
          <w:sz w:val="24"/>
        </w:rPr>
        <w:t>2m</w:t>
      </w:r>
      <w:r>
        <w:rPr>
          <w:rFonts w:hint="eastAsia" w:cs="宋体"/>
          <w:sz w:val="24"/>
        </w:rPr>
        <w:t>至</w:t>
      </w:r>
      <w:r>
        <w:rPr>
          <w:sz w:val="24"/>
        </w:rPr>
        <w:t>2.5m</w:t>
      </w:r>
      <w:r>
        <w:rPr>
          <w:rFonts w:hint="eastAsia" w:cs="宋体"/>
          <w:sz w:val="24"/>
        </w:rPr>
        <w:t>。</w:t>
      </w:r>
    </w:p>
    <w:p>
      <w:pPr>
        <w:spacing w:line="360" w:lineRule="auto"/>
        <w:ind w:firstLine="480" w:firstLineChars="200"/>
        <w:rPr>
          <w:rFonts w:ascii="宋体" w:hAnsi="宋体" w:cs="宋体"/>
          <w:sz w:val="24"/>
        </w:rPr>
      </w:pPr>
      <w:r>
        <w:rPr>
          <w:rFonts w:hint="eastAsia" w:ascii="宋体" w:hAnsi="宋体" w:cs="宋体"/>
          <w:sz w:val="24"/>
        </w:rPr>
        <w:t>基础采用现浇制作，基础顶面应预埋Q235B钢底座法兰盘及地脚螺栓。</w:t>
      </w:r>
    </w:p>
    <w:p>
      <w:pPr>
        <w:tabs>
          <w:tab w:val="left" w:pos="0"/>
        </w:tabs>
        <w:spacing w:line="360" w:lineRule="auto"/>
        <w:ind w:firstLine="480" w:firstLineChars="200"/>
        <w:jc w:val="left"/>
        <w:rPr>
          <w:sz w:val="24"/>
        </w:rPr>
      </w:pPr>
      <w:r>
        <w:rPr>
          <w:rFonts w:hint="eastAsia" w:cs="宋体"/>
          <w:sz w:val="24"/>
        </w:rPr>
        <w:t>钢质灯杆、法兰盘、地脚螺栓、螺母、垫片、加强筋等金属构件及悬臂、支撑臂、拉杆、抱箍座、夹板等附件的防腐性能应符合</w:t>
      </w:r>
      <w:r>
        <w:rPr>
          <w:sz w:val="24"/>
        </w:rPr>
        <w:t>GB/T</w:t>
      </w:r>
      <w:r>
        <w:rPr>
          <w:rFonts w:hint="eastAsia"/>
          <w:sz w:val="24"/>
        </w:rPr>
        <w:t xml:space="preserve"> </w:t>
      </w:r>
      <w:r>
        <w:rPr>
          <w:sz w:val="24"/>
        </w:rPr>
        <w:t>18226</w:t>
      </w:r>
      <w:r>
        <w:rPr>
          <w:rFonts w:hint="eastAsia" w:cs="宋体"/>
          <w:sz w:val="24"/>
        </w:rPr>
        <w:t>的规定。</w:t>
      </w:r>
    </w:p>
    <w:p>
      <w:pPr>
        <w:tabs>
          <w:tab w:val="left" w:pos="0"/>
        </w:tabs>
        <w:spacing w:line="360" w:lineRule="auto"/>
        <w:ind w:firstLine="480" w:firstLineChars="200"/>
        <w:jc w:val="left"/>
        <w:rPr>
          <w:sz w:val="24"/>
        </w:rPr>
      </w:pPr>
      <w:r>
        <w:rPr>
          <w:rFonts w:hint="eastAsia" w:cs="宋体"/>
          <w:sz w:val="24"/>
        </w:rPr>
        <w:t>控制仪器、信号灯及仪器接口应与辖区交管部门现有信号控制系统相统一。</w:t>
      </w:r>
    </w:p>
    <w:p>
      <w:pPr>
        <w:tabs>
          <w:tab w:val="left" w:pos="0"/>
        </w:tabs>
        <w:spacing w:line="360" w:lineRule="auto"/>
        <w:ind w:firstLine="480" w:firstLineChars="200"/>
        <w:jc w:val="left"/>
        <w:rPr>
          <w:sz w:val="24"/>
        </w:rPr>
      </w:pPr>
      <w:r>
        <w:rPr>
          <w:rFonts w:hint="eastAsia" w:cs="宋体"/>
          <w:sz w:val="24"/>
        </w:rPr>
        <w:t>考虑智能交通信号系统设计需切实结合辖区交通管路规划的要求，故本次图纸提交实施前，须由工程所在辖区交通管理部门做最后核准，无异议方可投入实施。</w:t>
      </w:r>
    </w:p>
    <w:p>
      <w:pPr>
        <w:tabs>
          <w:tab w:val="left" w:pos="0"/>
        </w:tabs>
        <w:spacing w:line="360" w:lineRule="auto"/>
        <w:ind w:firstLine="480" w:firstLineChars="200"/>
        <w:jc w:val="left"/>
        <w:rPr>
          <w:sz w:val="24"/>
        </w:rPr>
      </w:pPr>
      <w:r>
        <w:rPr>
          <w:rFonts w:hint="eastAsia" w:cs="宋体"/>
          <w:sz w:val="24"/>
        </w:rPr>
        <w:t>本工程中所有交通灯杆件在基础施工前需征询交管部门的意见，并在交管部门的指导下进行；</w:t>
      </w:r>
    </w:p>
    <w:p>
      <w:pPr>
        <w:tabs>
          <w:tab w:val="left" w:pos="0"/>
        </w:tabs>
        <w:spacing w:line="360" w:lineRule="auto"/>
        <w:ind w:firstLine="480" w:firstLineChars="200"/>
        <w:jc w:val="left"/>
        <w:rPr>
          <w:sz w:val="24"/>
        </w:rPr>
      </w:pPr>
      <w:r>
        <w:rPr>
          <w:rFonts w:hint="eastAsia" w:cs="宋体"/>
          <w:sz w:val="24"/>
        </w:rPr>
        <w:t>对于信号灯的设置所需的电源和光缆，必须征得电力和综合通信等专业部门同意，存在衔接不顺之处由建设单位予以协调。电源引入费用由建设单位与电力部门协定。网络运营商光纤通讯租赁费用由建设单位与网络运营商协定，暂按</w:t>
      </w:r>
      <w:r>
        <w:rPr>
          <w:rFonts w:hint="eastAsia"/>
          <w:sz w:val="24"/>
        </w:rPr>
        <w:t>2</w:t>
      </w:r>
      <w:r>
        <w:rPr>
          <w:rFonts w:hint="eastAsia" w:cs="宋体"/>
          <w:sz w:val="24"/>
        </w:rPr>
        <w:t>年考虑。</w:t>
      </w:r>
    </w:p>
    <w:p>
      <w:pPr>
        <w:tabs>
          <w:tab w:val="left" w:pos="0"/>
        </w:tabs>
        <w:spacing w:line="360" w:lineRule="auto"/>
        <w:ind w:firstLine="480" w:firstLineChars="200"/>
        <w:jc w:val="left"/>
        <w:rPr>
          <w:rFonts w:cs="宋体"/>
          <w:sz w:val="24"/>
        </w:rPr>
      </w:pPr>
      <w:r>
        <w:rPr>
          <w:rFonts w:hint="eastAsia" w:cs="宋体"/>
          <w:sz w:val="24"/>
        </w:rPr>
        <w:t>施工要求不清晰明确的可按《城市道路交通管理设施设置规范》（DB 50/T 548-2024）及相关标准或规范执行。由于本次施工建设的诸多不确定因素，施工方的全部工作必须在监理单位、交管部门等的监督和指导下进行和完成，若遇到不明确之处，应积极反馈，以免造成返工或投资浪费。</w:t>
      </w:r>
    </w:p>
    <w:p>
      <w:pPr>
        <w:spacing w:line="360" w:lineRule="auto"/>
        <w:ind w:firstLine="480" w:firstLineChars="200"/>
        <w:outlineLvl w:val="2"/>
        <w:rPr>
          <w:rFonts w:ascii="宋体" w:hAnsi="宋体"/>
          <w:b/>
          <w:bCs/>
          <w:sz w:val="24"/>
        </w:rPr>
      </w:pPr>
      <w:r>
        <w:rPr>
          <w:rFonts w:ascii="宋体" w:hAnsi="宋体"/>
          <w:b/>
          <w:bCs/>
          <w:sz w:val="24"/>
        </w:rPr>
        <w:t>5</w:t>
      </w:r>
      <w:r>
        <w:rPr>
          <w:rFonts w:hint="eastAsia" w:ascii="宋体" w:hAnsi="宋体"/>
          <w:b/>
          <w:bCs/>
          <w:sz w:val="24"/>
        </w:rPr>
        <w:t>.4.2布线</w:t>
      </w:r>
    </w:p>
    <w:p>
      <w:pPr>
        <w:tabs>
          <w:tab w:val="left" w:pos="0"/>
        </w:tabs>
        <w:spacing w:line="360" w:lineRule="auto"/>
        <w:ind w:firstLine="480" w:firstLineChars="200"/>
        <w:jc w:val="left"/>
        <w:rPr>
          <w:sz w:val="24"/>
        </w:rPr>
      </w:pPr>
      <w:r>
        <w:rPr>
          <w:rFonts w:hint="eastAsia" w:cs="宋体"/>
          <w:sz w:val="24"/>
        </w:rPr>
        <w:t>布线是指控制机（器）与各设备、电源入口之间的连接和管道放线。布线施工应按施工图和有关规范进行。</w:t>
      </w:r>
    </w:p>
    <w:p>
      <w:pPr>
        <w:tabs>
          <w:tab w:val="left" w:pos="0"/>
        </w:tabs>
        <w:spacing w:line="360" w:lineRule="auto"/>
        <w:ind w:firstLine="480" w:firstLineChars="200"/>
        <w:jc w:val="left"/>
        <w:rPr>
          <w:sz w:val="24"/>
        </w:rPr>
      </w:pPr>
      <w:r>
        <w:rPr>
          <w:sz w:val="24"/>
        </w:rPr>
        <w:t>1</w:t>
      </w:r>
      <w:r>
        <w:rPr>
          <w:rFonts w:hint="eastAsia" w:cs="宋体"/>
          <w:sz w:val="24"/>
        </w:rPr>
        <w:t>）电缆的敷设应符合下列要求：</w:t>
      </w:r>
      <w:r>
        <w:rPr>
          <w:sz w:val="24"/>
        </w:rPr>
        <w:t>a</w:t>
      </w:r>
      <w:r>
        <w:rPr>
          <w:rFonts w:hint="eastAsia" w:cs="宋体"/>
          <w:sz w:val="24"/>
        </w:rPr>
        <w:t>、电缆的弯曲半径应大于电缆直径的</w:t>
      </w:r>
      <w:r>
        <w:rPr>
          <w:sz w:val="24"/>
        </w:rPr>
        <w:t>15</w:t>
      </w:r>
      <w:r>
        <w:rPr>
          <w:rFonts w:hint="eastAsia" w:cs="宋体"/>
          <w:sz w:val="24"/>
        </w:rPr>
        <w:t>倍；</w:t>
      </w:r>
      <w:r>
        <w:rPr>
          <w:sz w:val="24"/>
        </w:rPr>
        <w:t>b</w:t>
      </w:r>
      <w:r>
        <w:rPr>
          <w:rFonts w:hint="eastAsia" w:cs="宋体"/>
          <w:sz w:val="24"/>
        </w:rPr>
        <w:t>、电源线宜与信号线、控制线分开敷设；</w:t>
      </w:r>
      <w:r>
        <w:rPr>
          <w:sz w:val="24"/>
        </w:rPr>
        <w:t>c</w:t>
      </w:r>
      <w:r>
        <w:rPr>
          <w:rFonts w:hint="eastAsia" w:cs="宋体"/>
          <w:sz w:val="24"/>
        </w:rPr>
        <w:t>、室外设备连接电缆时，宜从设备的下部进行线；</w:t>
      </w:r>
      <w:r>
        <w:rPr>
          <w:sz w:val="24"/>
        </w:rPr>
        <w:t>d</w:t>
      </w:r>
      <w:r>
        <w:rPr>
          <w:rFonts w:hint="eastAsia" w:cs="宋体"/>
          <w:sz w:val="24"/>
        </w:rPr>
        <w:t>、电缆长度应逐盘时，并根据设计图上各段线路的长度来选配电缆。宜避免电缆的接续，当电缆接续时应采用专用接插件。</w:t>
      </w:r>
    </w:p>
    <w:p>
      <w:pPr>
        <w:tabs>
          <w:tab w:val="left" w:pos="0"/>
        </w:tabs>
        <w:spacing w:line="360" w:lineRule="auto"/>
        <w:ind w:firstLine="480" w:firstLineChars="200"/>
        <w:jc w:val="left"/>
        <w:rPr>
          <w:sz w:val="24"/>
        </w:rPr>
      </w:pPr>
      <w:r>
        <w:rPr>
          <w:sz w:val="24"/>
        </w:rPr>
        <w:t>2</w:t>
      </w:r>
      <w:r>
        <w:rPr>
          <w:rFonts w:hint="eastAsia" w:cs="宋体"/>
          <w:sz w:val="24"/>
        </w:rPr>
        <w:t>）直埋电缆的埋深不得小于</w:t>
      </w:r>
      <w:r>
        <w:rPr>
          <w:sz w:val="24"/>
        </w:rPr>
        <w:t>0.7m</w:t>
      </w:r>
      <w:r>
        <w:rPr>
          <w:rFonts w:hint="eastAsia" w:cs="宋体"/>
          <w:sz w:val="24"/>
        </w:rPr>
        <w:t>；紧靠电缆处应用砂或细土覆盖，其厚度应大于</w:t>
      </w:r>
      <w:r>
        <w:rPr>
          <w:sz w:val="24"/>
        </w:rPr>
        <w:t>0.1m</w:t>
      </w:r>
      <w:r>
        <w:rPr>
          <w:rFonts w:hint="eastAsia" w:cs="宋体"/>
          <w:sz w:val="24"/>
        </w:rPr>
        <w:t>，且上压一层砖石保护。通过交通要道时，应穿钢管保护，电缆应采用具有铠装的直埋电缆，不得用非直埋式电缆作直接埋地敷设。转弯地段的电缆，地面上应有电缆标志。</w:t>
      </w:r>
    </w:p>
    <w:p>
      <w:pPr>
        <w:tabs>
          <w:tab w:val="left" w:pos="0"/>
        </w:tabs>
        <w:spacing w:line="360" w:lineRule="auto"/>
        <w:ind w:firstLine="480" w:firstLineChars="200"/>
        <w:jc w:val="left"/>
        <w:rPr>
          <w:sz w:val="24"/>
        </w:rPr>
      </w:pPr>
      <w:r>
        <w:rPr>
          <w:sz w:val="24"/>
        </w:rPr>
        <w:t>3</w:t>
      </w:r>
      <w:r>
        <w:rPr>
          <w:rFonts w:hint="eastAsia" w:cs="宋体"/>
          <w:sz w:val="24"/>
        </w:rPr>
        <w:t>）敷设管道电缆，应符合下列要求：</w:t>
      </w:r>
      <w:r>
        <w:rPr>
          <w:sz w:val="24"/>
        </w:rPr>
        <w:t>a</w:t>
      </w:r>
      <w:r>
        <w:rPr>
          <w:rFonts w:hint="eastAsia" w:cs="宋体"/>
          <w:sz w:val="24"/>
        </w:rPr>
        <w:t>、敷设管道线之前应先清刷管孔；</w:t>
      </w:r>
      <w:r>
        <w:rPr>
          <w:sz w:val="24"/>
        </w:rPr>
        <w:t>b</w:t>
      </w:r>
      <w:r>
        <w:rPr>
          <w:rFonts w:hint="eastAsia" w:cs="宋体"/>
          <w:sz w:val="24"/>
        </w:rPr>
        <w:t>、管孔内预设一根镀锌铁线；</w:t>
      </w:r>
      <w:r>
        <w:rPr>
          <w:sz w:val="24"/>
        </w:rPr>
        <w:t>c</w:t>
      </w:r>
      <w:r>
        <w:rPr>
          <w:rFonts w:hint="eastAsia" w:cs="宋体"/>
          <w:sz w:val="24"/>
        </w:rPr>
        <w:t>、穿放电缆时宜涂抹黄油或滑石粉；</w:t>
      </w:r>
      <w:r>
        <w:rPr>
          <w:sz w:val="24"/>
        </w:rPr>
        <w:t>d</w:t>
      </w:r>
      <w:r>
        <w:rPr>
          <w:rFonts w:hint="eastAsia" w:cs="宋体"/>
          <w:sz w:val="24"/>
        </w:rPr>
        <w:t>、管口与电缆间应衬垫铅皮，铅皮应包在管口上；</w:t>
      </w:r>
      <w:r>
        <w:rPr>
          <w:sz w:val="24"/>
        </w:rPr>
        <w:t>e</w:t>
      </w:r>
      <w:r>
        <w:rPr>
          <w:rFonts w:hint="eastAsia" w:cs="宋体"/>
          <w:sz w:val="24"/>
        </w:rPr>
        <w:t>、进入管孔的电缆应保持平直，并应采取防潮、防腐蚀、防鼠等处理措施。</w:t>
      </w:r>
    </w:p>
    <w:p>
      <w:pPr>
        <w:tabs>
          <w:tab w:val="left" w:pos="0"/>
        </w:tabs>
        <w:spacing w:line="360" w:lineRule="auto"/>
        <w:ind w:firstLine="480" w:firstLineChars="200"/>
        <w:jc w:val="left"/>
        <w:rPr>
          <w:sz w:val="24"/>
        </w:rPr>
      </w:pPr>
      <w:r>
        <w:rPr>
          <w:sz w:val="24"/>
        </w:rPr>
        <w:t>4</w:t>
      </w:r>
      <w:r>
        <w:rPr>
          <w:rFonts w:hint="eastAsia" w:cs="宋体"/>
          <w:sz w:val="24"/>
        </w:rPr>
        <w:t>）控制电缆要分别连接到设备和控制器的接线柱上，电缆电线应绝缘且无接头，并用有号码的套管编码以便日后的维修。除所需长度外每项电缆线应留有余量于最靠近立杆（柱）的砂井内。一般应留</w:t>
      </w:r>
      <w:r>
        <w:rPr>
          <w:sz w:val="24"/>
        </w:rPr>
        <w:t>2</w:t>
      </w:r>
      <w:r>
        <w:rPr>
          <w:rFonts w:hint="eastAsia" w:cs="宋体"/>
          <w:sz w:val="24"/>
        </w:rPr>
        <w:t>米。在控制机端、每根电缆应留有</w:t>
      </w:r>
      <w:r>
        <w:rPr>
          <w:sz w:val="24"/>
        </w:rPr>
        <w:t>5</w:t>
      </w:r>
      <w:r>
        <w:rPr>
          <w:rFonts w:hint="eastAsia" w:cs="宋体"/>
          <w:sz w:val="24"/>
        </w:rPr>
        <w:t>米的余量整齐地放于控制机旁的砂井内。放线后每根电缆线尾断口应独立密封，防止水分渗入线内，做到防水、防潮。</w:t>
      </w:r>
    </w:p>
    <w:p>
      <w:pPr>
        <w:tabs>
          <w:tab w:val="left" w:pos="0"/>
        </w:tabs>
        <w:spacing w:line="360" w:lineRule="auto"/>
        <w:ind w:firstLine="480" w:firstLineChars="200"/>
        <w:jc w:val="left"/>
        <w:rPr>
          <w:sz w:val="24"/>
        </w:rPr>
      </w:pPr>
      <w:r>
        <w:rPr>
          <w:sz w:val="24"/>
        </w:rPr>
        <w:t>5</w:t>
      </w:r>
      <w:r>
        <w:rPr>
          <w:rFonts w:hint="eastAsia" w:cs="宋体"/>
          <w:sz w:val="24"/>
        </w:rPr>
        <w:t>）放线前，应在导管的管口处套上喇叭形无锋利的塑料套子，以免损伤电缆。</w:t>
      </w:r>
    </w:p>
    <w:p>
      <w:pPr>
        <w:tabs>
          <w:tab w:val="left" w:pos="0"/>
        </w:tabs>
        <w:spacing w:line="360" w:lineRule="auto"/>
        <w:ind w:firstLine="480" w:firstLineChars="200"/>
        <w:jc w:val="left"/>
        <w:rPr>
          <w:sz w:val="24"/>
        </w:rPr>
      </w:pPr>
      <w:r>
        <w:rPr>
          <w:sz w:val="24"/>
        </w:rPr>
        <w:t>6</w:t>
      </w:r>
      <w:r>
        <w:rPr>
          <w:rFonts w:hint="eastAsia" w:cs="宋体"/>
          <w:sz w:val="24"/>
        </w:rPr>
        <w:t>）放线时应尽量集中在某根管内（或某几根管内）走线，管内放线不超过</w:t>
      </w:r>
      <w:r>
        <w:rPr>
          <w:sz w:val="24"/>
        </w:rPr>
        <w:t>10</w:t>
      </w:r>
      <w:r>
        <w:rPr>
          <w:rFonts w:hint="eastAsia" w:cs="宋体"/>
          <w:sz w:val="24"/>
        </w:rPr>
        <w:t>根。</w:t>
      </w:r>
    </w:p>
    <w:p>
      <w:pPr>
        <w:tabs>
          <w:tab w:val="left" w:pos="0"/>
        </w:tabs>
        <w:spacing w:line="360" w:lineRule="auto"/>
        <w:ind w:firstLine="480" w:firstLineChars="200"/>
        <w:jc w:val="left"/>
        <w:rPr>
          <w:rFonts w:cs="宋体"/>
          <w:sz w:val="24"/>
        </w:rPr>
      </w:pPr>
      <w:r>
        <w:rPr>
          <w:sz w:val="24"/>
        </w:rPr>
        <w:t>7</w:t>
      </w:r>
      <w:r>
        <w:rPr>
          <w:rFonts w:hint="eastAsia" w:cs="宋体"/>
          <w:sz w:val="24"/>
        </w:rPr>
        <w:t>）放线应采用无接头电缆，在万不得已的情况下，需要接头时，其接头不能放在导管内，应在砂井内接头，并做好防水绝缘处理。接头地方用硅橡胶或环氧树脂封灌，并在存案的图纸上标明去向。</w:t>
      </w:r>
    </w:p>
    <w:p>
      <w:pPr>
        <w:spacing w:line="360" w:lineRule="auto"/>
        <w:ind w:firstLine="480" w:firstLineChars="200"/>
        <w:outlineLvl w:val="2"/>
        <w:rPr>
          <w:rFonts w:ascii="宋体" w:hAnsi="宋体"/>
          <w:b/>
          <w:bCs/>
          <w:sz w:val="24"/>
        </w:rPr>
      </w:pPr>
      <w:r>
        <w:rPr>
          <w:rFonts w:ascii="宋体" w:hAnsi="宋体"/>
          <w:b/>
          <w:bCs/>
          <w:sz w:val="24"/>
        </w:rPr>
        <w:t>5</w:t>
      </w:r>
      <w:r>
        <w:rPr>
          <w:rFonts w:hint="eastAsia" w:ascii="宋体" w:hAnsi="宋体"/>
          <w:b/>
          <w:bCs/>
          <w:sz w:val="24"/>
        </w:rPr>
        <w:t>.4.3 杆件安装</w:t>
      </w:r>
    </w:p>
    <w:p>
      <w:pPr>
        <w:tabs>
          <w:tab w:val="left" w:pos="0"/>
        </w:tabs>
        <w:spacing w:line="360" w:lineRule="auto"/>
        <w:ind w:firstLine="480" w:firstLineChars="200"/>
        <w:jc w:val="left"/>
        <w:rPr>
          <w:sz w:val="24"/>
        </w:rPr>
      </w:pPr>
      <w:r>
        <w:rPr>
          <w:sz w:val="24"/>
        </w:rPr>
        <w:t>1</w:t>
      </w:r>
      <w:r>
        <w:rPr>
          <w:rFonts w:hint="eastAsia" w:cs="宋体"/>
          <w:sz w:val="24"/>
        </w:rPr>
        <w:t>）安装前，应检查杆体是否符合要求，配件是否齐全，确认后再进行下一道工序。</w:t>
      </w:r>
    </w:p>
    <w:p>
      <w:pPr>
        <w:tabs>
          <w:tab w:val="left" w:pos="0"/>
        </w:tabs>
        <w:spacing w:line="360" w:lineRule="auto"/>
        <w:ind w:firstLine="480" w:firstLineChars="200"/>
        <w:jc w:val="left"/>
        <w:rPr>
          <w:sz w:val="24"/>
        </w:rPr>
      </w:pPr>
      <w:r>
        <w:rPr>
          <w:sz w:val="24"/>
        </w:rPr>
        <w:t>2</w:t>
      </w:r>
      <w:r>
        <w:rPr>
          <w:rFonts w:hint="eastAsia" w:cs="宋体"/>
          <w:sz w:val="24"/>
        </w:rPr>
        <w:t>）在不影响车辆、行人通过的拼装场地进行杆体拼装。</w:t>
      </w:r>
    </w:p>
    <w:p>
      <w:pPr>
        <w:tabs>
          <w:tab w:val="left" w:pos="0"/>
        </w:tabs>
        <w:spacing w:line="360" w:lineRule="auto"/>
        <w:ind w:firstLine="480" w:firstLineChars="200"/>
        <w:jc w:val="left"/>
        <w:rPr>
          <w:sz w:val="24"/>
        </w:rPr>
      </w:pPr>
      <w:r>
        <w:rPr>
          <w:sz w:val="24"/>
        </w:rPr>
        <w:t>3</w:t>
      </w:r>
      <w:r>
        <w:rPr>
          <w:rFonts w:hint="eastAsia" w:cs="宋体"/>
          <w:sz w:val="24"/>
        </w:rPr>
        <w:t>）杆件横臂与立柱连接用特制高强度螺栓。</w:t>
      </w:r>
    </w:p>
    <w:p>
      <w:pPr>
        <w:tabs>
          <w:tab w:val="left" w:pos="0"/>
        </w:tabs>
        <w:spacing w:line="360" w:lineRule="auto"/>
        <w:ind w:firstLine="480" w:firstLineChars="200"/>
        <w:jc w:val="left"/>
        <w:rPr>
          <w:sz w:val="24"/>
        </w:rPr>
      </w:pPr>
      <w:r>
        <w:rPr>
          <w:sz w:val="24"/>
        </w:rPr>
        <w:t>4</w:t>
      </w:r>
      <w:r>
        <w:rPr>
          <w:rFonts w:hint="eastAsia" w:cs="宋体"/>
          <w:sz w:val="24"/>
        </w:rPr>
        <w:t>）杆件安装（吊装）立柱垂直度不大于</w:t>
      </w:r>
      <w:r>
        <w:rPr>
          <w:sz w:val="24"/>
        </w:rPr>
        <w:t>0.5%</w:t>
      </w:r>
      <w:r>
        <w:rPr>
          <w:rFonts w:hint="eastAsia" w:cs="宋体"/>
          <w:sz w:val="24"/>
        </w:rPr>
        <w:t>。</w:t>
      </w:r>
    </w:p>
    <w:p>
      <w:pPr>
        <w:tabs>
          <w:tab w:val="left" w:pos="0"/>
        </w:tabs>
        <w:spacing w:line="360" w:lineRule="auto"/>
        <w:ind w:firstLine="480" w:firstLineChars="200"/>
        <w:jc w:val="left"/>
        <w:rPr>
          <w:sz w:val="24"/>
        </w:rPr>
      </w:pPr>
      <w:r>
        <w:rPr>
          <w:sz w:val="24"/>
        </w:rPr>
        <w:t>5</w:t>
      </w:r>
      <w:r>
        <w:rPr>
          <w:rFonts w:hint="eastAsia"/>
          <w:sz w:val="24"/>
        </w:rPr>
        <w:t>）杆体与地脚螺栓联接要牢固，地脚螺栓外露部分用黄油封好。</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电子警察及雷视一体摄像机设施设计</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.1设计概况</w:t>
      </w:r>
    </w:p>
    <w:p>
      <w:pPr>
        <w:spacing w:line="360" w:lineRule="auto"/>
        <w:ind w:firstLine="480" w:firstLineChars="200"/>
        <w:rPr>
          <w:rFonts w:ascii="宋体" w:hAnsi="宋体" w:cs="宋体"/>
          <w:sz w:val="24"/>
        </w:rPr>
      </w:pPr>
      <w:r>
        <w:rPr>
          <w:rFonts w:hint="eastAsia" w:ascii="宋体" w:hAnsi="宋体" w:cs="宋体"/>
          <w:sz w:val="24"/>
        </w:rPr>
        <w:t>高清电子警察系统由三个单元组成：图像采集与数据处理单元，数据传输单元，中心管理单元，其中，图像采集与数据处理单元由电警抓拍摄像机、补光灯、控制箱等组成。本次设计的电子警察设施和</w:t>
      </w:r>
      <w:r>
        <w:rPr>
          <w:rFonts w:hint="eastAsia" w:ascii="宋体" w:hAnsi="宋体"/>
          <w:sz w:val="24"/>
        </w:rPr>
        <w:t>雷视交通参数车检器设施</w:t>
      </w:r>
      <w:r>
        <w:rPr>
          <w:rFonts w:hint="eastAsia" w:ascii="宋体" w:hAnsi="宋体" w:cs="宋体"/>
          <w:sz w:val="24"/>
        </w:rPr>
        <w:t>内容仅包括外部硬件设施，不包含后台系统设施，所采用的设备均需与交管部门现状后台相兼容。</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.2功能要求</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视频检测功能：采用视频检测技术，自动检测抓拍到机动车违反交通安全法行为的连续照片，同时具有过车记录功能对所有过往车辆进行图像记录；</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闯红灯记录功能：系统对闯红灯的违法车辆记录三张不同位置的高清全景图像以显示违法过程；</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本系统具备卡口功能：即绿灯、黄灯期间记录车辆，红灯期间抓拍交通违法车辆，对通过每个车道的所有车辆进行检测、抓拍、记录、保存和识别；</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路口较大，采用光纤传输模式，在电子警察立杆增加背箱；</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不按车道行驶记录功能：系统对不按车道行驶的违法车辆记录三张不同位置的高清全景图像以显示违法过程；</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违法变道记录功能：系统对违法变道的违法车辆记录三张不同位置的高清全景图像以显示违法过程；</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压线行驶记录功能：系统支持对压线行驶的违法车辆进行检测、抓拍记录与识别；</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逆行记录功能：系统支持对逆向行驶的违法车辆进行检测、抓拍记录与识别；</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违法停车记录功能：在车牌可识别范围内，系统支持对静止超过规定时间的违法停车行为进行记录，并发送报警信号；</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国四国五高排放车辆记录功能</w:t>
      </w:r>
      <w:r>
        <w:rPr>
          <w:rFonts w:ascii="宋体" w:hAnsi="宋体" w:cs="宋体"/>
          <w:sz w:val="24"/>
        </w:rPr>
        <w:t>：</w:t>
      </w:r>
      <w:r>
        <w:rPr>
          <w:rFonts w:hint="eastAsia" w:ascii="宋体" w:hAnsi="宋体" w:cs="宋体"/>
          <w:sz w:val="24"/>
        </w:rPr>
        <w:t>针对驶入黔江城区国四国五高排放车辆进行管控执法，依托卡口电警设备过车抓拍数据，结合禁令标志，进行备案执法。</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路口拥堵分析功能：系统支持对路口的拥堵情况进行分析和判断，并根据规则发送报警信号；</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信号灯状态视频检测功能：通过视频检测分析的方式判定红绿信号灯状态；</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信号灯相位同步功能：与路口红绿灯信号进行同步，确保抓拍到的图片中红绿灯颜色显示准确，避免红灯泛黄或无颜色；</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智能补光功能：通过摄像机控制LED补光灯和生态环保型智能补光灯进行同步补光；</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号牌自动识别功能：根据捕获的目标照片，自动完成车牌号码识别和车牌颜色识别。</w:t>
      </w:r>
    </w:p>
    <w:p>
      <w:pPr>
        <w:spacing w:line="360" w:lineRule="auto"/>
        <w:ind w:firstLine="480" w:firstLineChars="200"/>
        <w:rPr>
          <w:rFonts w:ascii="宋体" w:hAnsi="宋体" w:cs="宋体"/>
          <w:sz w:val="24"/>
        </w:rPr>
      </w:pPr>
      <w:r>
        <w:rPr>
          <w:rFonts w:hint="eastAsia" w:ascii="宋体" w:hAnsi="宋体" w:cs="宋体"/>
          <w:sz w:val="24"/>
        </w:rPr>
        <w:t>（1）系统应能识别的号牌结构包括：</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 xml:space="preserve"> 单排字符结构的号牌，如军队用小型汽车号牌、GA36-2007中的小型汽车号牌、港澳入出境车号牌、教练汽车号牌等；</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 xml:space="preserve"> 武警用小型汽车号牌；</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 xml:space="preserve"> 警用汽车号牌；</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 xml:space="preserve"> 双排字符结构的号牌，如军队用大型汽车号牌、武警用大型汽车号牌、GA36-2007中的大型汽车号牌、挂车号牌、低速汽车号牌等；</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新能源车车牌。</w:t>
      </w:r>
    </w:p>
    <w:p>
      <w:pPr>
        <w:spacing w:line="360" w:lineRule="auto"/>
        <w:ind w:firstLine="480" w:firstLineChars="200"/>
        <w:rPr>
          <w:rFonts w:ascii="宋体" w:hAnsi="宋体" w:cs="宋体"/>
          <w:sz w:val="24"/>
        </w:rPr>
      </w:pPr>
      <w:r>
        <w:rPr>
          <w:rFonts w:hint="eastAsia" w:ascii="宋体" w:hAnsi="宋体" w:cs="宋体"/>
          <w:sz w:val="24"/>
        </w:rPr>
        <w:t>（2）号牌字符识别</w:t>
      </w:r>
    </w:p>
    <w:p>
      <w:pPr>
        <w:spacing w:line="360" w:lineRule="auto"/>
        <w:ind w:firstLine="480" w:firstLineChars="200"/>
        <w:rPr>
          <w:rFonts w:ascii="宋体" w:hAnsi="宋体" w:cs="宋体"/>
          <w:sz w:val="24"/>
        </w:rPr>
      </w:pPr>
      <w:r>
        <w:rPr>
          <w:rFonts w:hint="eastAsia" w:ascii="宋体" w:hAnsi="宋体" w:cs="宋体"/>
          <w:sz w:val="24"/>
        </w:rPr>
        <w:t>系统应具备对民用、警用、军用、武警等汽车号牌自动识别的能力，所能识别的字符包括:</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阿拉伯数字：“0～9”十个；</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英文字母：</w:t>
      </w:r>
      <w:r>
        <w:rPr>
          <w:rFonts w:hint="eastAsia" w:cs="Times New Roman"/>
          <w:szCs w:val="20"/>
        </w:rPr>
        <w:t>“A～Z”二十六个</w:t>
      </w:r>
      <w:r>
        <w:rPr>
          <w:rFonts w:hint="eastAsia" w:cs="Times New Roman"/>
        </w:rPr>
        <w:t>；</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rPr>
        <w:t>省、自治区、直辖市简称：</w:t>
      </w:r>
      <w:r>
        <w:rPr>
          <w:rFonts w:hint="eastAsia" w:cs="Times New Roman"/>
          <w:szCs w:val="20"/>
        </w:rPr>
        <w:t>京、津、晋、冀、蒙、辽、吉、黑、沪、苏、浙、皖、闽、赣、鲁、豫、鄂、湘、粤、桂、琼、川、贵、云、藏、陕、甘、青、宁、新、渝</w:t>
      </w:r>
      <w:r>
        <w:rPr>
          <w:rFonts w:hint="eastAsia" w:cs="Times New Roman"/>
        </w:rPr>
        <w:t>；</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szCs w:val="20"/>
        </w:rPr>
        <w:t>专用号牌简称用汉字</w:t>
      </w:r>
      <w:r>
        <w:rPr>
          <w:rFonts w:hint="eastAsia" w:cs="Times New Roman"/>
        </w:rPr>
        <w:t>：</w:t>
      </w:r>
      <w:r>
        <w:rPr>
          <w:rFonts w:hint="eastAsia" w:cs="Times New Roman"/>
          <w:szCs w:val="20"/>
        </w:rPr>
        <w:t>领、使、警、学、挂、港、澳、试、超</w:t>
      </w:r>
      <w:r>
        <w:rPr>
          <w:rFonts w:hint="eastAsia" w:cs="Times New Roman"/>
        </w:rPr>
        <w:t>；</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szCs w:val="20"/>
        </w:rPr>
        <w:t>12式武警号牌字符</w:t>
      </w:r>
      <w:r>
        <w:rPr>
          <w:rFonts w:hint="eastAsia" w:cs="Times New Roman"/>
        </w:rPr>
        <w:t>：</w:t>
      </w:r>
      <w:r>
        <w:rPr>
          <w:rFonts w:hint="eastAsia" w:cs="Times New Roman"/>
          <w:szCs w:val="20"/>
        </w:rPr>
        <w:t>WJ样式的字母、省份简称汉字、警种字母（X、B、T、S、H、J、D）、数字</w:t>
      </w:r>
    </w:p>
    <w:p>
      <w:pPr>
        <w:pStyle w:val="20"/>
        <w:widowControl w:val="0"/>
        <w:numPr>
          <w:ilvl w:val="0"/>
          <w:numId w:val="8"/>
        </w:numPr>
        <w:tabs>
          <w:tab w:val="left" w:pos="420"/>
        </w:tabs>
        <w:spacing w:before="0" w:beforeAutospacing="0" w:after="0" w:afterAutospacing="0" w:line="360" w:lineRule="auto"/>
        <w:ind w:left="0" w:firstLine="480" w:firstLineChars="200"/>
      </w:pPr>
      <w:r>
        <w:rPr>
          <w:rFonts w:hint="eastAsia" w:cs="Times New Roman"/>
          <w:szCs w:val="20"/>
        </w:rPr>
        <w:t>12式军车号牌字符：各军区/各军兵种部拼音缩写字母、各军区/各军兵种部下辖各部属机构拼音缩写字母、数字</w:t>
      </w:r>
    </w:p>
    <w:p>
      <w:pPr>
        <w:spacing w:line="360" w:lineRule="auto"/>
        <w:ind w:firstLine="480" w:firstLineChars="200"/>
        <w:rPr>
          <w:rFonts w:ascii="宋体" w:hAnsi="宋体" w:cs="宋体"/>
          <w:sz w:val="24"/>
        </w:rPr>
      </w:pPr>
      <w:r>
        <w:rPr>
          <w:rFonts w:hint="eastAsia" w:ascii="宋体" w:hAnsi="宋体" w:cs="宋体"/>
          <w:sz w:val="24"/>
        </w:rPr>
        <w:t>（3）号牌颜色识别</w:t>
      </w:r>
    </w:p>
    <w:p>
      <w:pPr>
        <w:spacing w:line="360" w:lineRule="auto"/>
        <w:ind w:firstLine="480" w:firstLineChars="200"/>
        <w:rPr>
          <w:rFonts w:ascii="宋体" w:hAnsi="宋体" w:cs="宋体"/>
          <w:sz w:val="24"/>
        </w:rPr>
      </w:pPr>
      <w:r>
        <w:rPr>
          <w:rFonts w:hint="eastAsia" w:ascii="宋体" w:hAnsi="宋体" w:cs="宋体"/>
          <w:sz w:val="24"/>
        </w:rPr>
        <w:t>系统应能识别蓝、黄、白、黑、绿五种底色的机动车号牌。</w:t>
      </w:r>
    </w:p>
    <w:p>
      <w:pPr>
        <w:spacing w:line="360" w:lineRule="auto"/>
        <w:ind w:firstLine="480" w:firstLineChars="200"/>
        <w:rPr>
          <w:rFonts w:ascii="宋体" w:hAnsi="宋体" w:cs="宋体"/>
          <w:sz w:val="24"/>
        </w:rPr>
      </w:pPr>
      <w:r>
        <w:rPr>
          <w:rFonts w:hint="eastAsia" w:ascii="宋体" w:hAnsi="宋体" w:cs="宋体"/>
          <w:sz w:val="24"/>
        </w:rPr>
        <w:t>（4）车辆号牌识别要求</w:t>
      </w:r>
    </w:p>
    <w:p>
      <w:pPr>
        <w:spacing w:line="360" w:lineRule="auto"/>
        <w:ind w:firstLine="480" w:firstLineChars="200"/>
        <w:rPr>
          <w:rFonts w:ascii="宋体" w:hAnsi="宋体" w:cs="宋体"/>
          <w:sz w:val="24"/>
        </w:rPr>
      </w:pPr>
      <w:r>
        <w:rPr>
          <w:rFonts w:hint="eastAsia" w:ascii="宋体" w:hAnsi="宋体" w:cs="宋体"/>
          <w:sz w:val="24"/>
        </w:rPr>
        <w:t>白天车辆号牌识别准确率应≥97%，夜晚≥90%（夜晚需要有较好环境光线条件）（除摩托车号牌、临时号牌、拖拉机号牌外）；号牌识别信息应包含号牌结构、号牌字符、号牌颜色等信息。</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车身颜色识别功能：从捕获的目标图像中识别出车辆的车身颜色和颜色深浅；</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高清录像功能：实现24小时高清视频录像功能，视频编码格式支持主流的H.264；</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视频测速功能：通过视频分析车辆轨迹，测算车辆速度；</w:t>
      </w:r>
    </w:p>
    <w:p>
      <w:pPr>
        <w:numPr>
          <w:ilvl w:val="0"/>
          <w:numId w:val="7"/>
        </w:numPr>
        <w:spacing w:line="360" w:lineRule="auto"/>
        <w:ind w:left="0" w:firstLine="480" w:firstLineChars="200"/>
        <w:rPr>
          <w:rFonts w:ascii="Arial" w:hAnsi="Arial"/>
          <w:sz w:val="24"/>
        </w:rPr>
      </w:pPr>
      <w:r>
        <w:rPr>
          <w:rFonts w:hint="eastAsia" w:ascii="宋体" w:hAnsi="宋体" w:cs="宋体"/>
          <w:sz w:val="24"/>
        </w:rPr>
        <w:t>视频流量检测功能：基于视频进行车道流量、排队长度、车头时距等交通数据的检测采集，为交通规划和指挥调度提供数据支持；</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数据存储功能：系统采集的车辆图片、违章数据、高清录像等数据支持前端存储和中心集中存储；</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图片防篡改功能：支持对所有视频、图片进行水印加密处理，并可检测是否被篡改；</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断点续传功能：当前端网络从故障恢复正常之后，可以直接从故障点续传数据；</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远程系统管理维护功能：故障自动检测、权限管理功能、日志记录、主动校时、远程维护及参数的设置等。</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.3主要设备功能要求</w:t>
      </w:r>
    </w:p>
    <w:p>
      <w:pPr>
        <w:numPr>
          <w:ilvl w:val="0"/>
          <w:numId w:val="7"/>
        </w:numPr>
        <w:spacing w:line="360" w:lineRule="auto"/>
        <w:ind w:left="0" w:firstLine="480" w:firstLineChars="200"/>
        <w:rPr>
          <w:rFonts w:ascii="宋体" w:hAnsi="宋体" w:cs="宋体"/>
          <w:sz w:val="24"/>
        </w:rPr>
      </w:pPr>
      <w:bookmarkStart w:id="6" w:name="_Toc31862"/>
      <w:bookmarkStart w:id="7" w:name="_Toc398025010"/>
      <w:r>
        <w:rPr>
          <w:rFonts w:hint="eastAsia" w:ascii="宋体" w:hAnsi="宋体" w:cs="宋体"/>
          <w:sz w:val="24"/>
        </w:rPr>
        <w:t>高帧率摄像机</w:t>
      </w:r>
      <w:bookmarkEnd w:id="6"/>
      <w:bookmarkEnd w:id="7"/>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车辆定位准确</w:t>
      </w:r>
    </w:p>
    <w:p>
      <w:pPr>
        <w:numPr>
          <w:ilvl w:val="0"/>
          <w:numId w:val="7"/>
        </w:numPr>
        <w:spacing w:line="360" w:lineRule="auto"/>
        <w:ind w:left="0" w:firstLine="480" w:firstLineChars="200"/>
        <w:rPr>
          <w:rFonts w:ascii="宋体" w:hAnsi="宋体" w:cs="宋体"/>
          <w:sz w:val="24"/>
        </w:rPr>
      </w:pPr>
      <w:bookmarkStart w:id="8" w:name="_Toc398025012"/>
      <w:r>
        <w:rPr>
          <w:rFonts w:hint="eastAsia" w:ascii="宋体" w:hAnsi="宋体" w:cs="宋体"/>
          <w:sz w:val="24"/>
        </w:rPr>
        <w:t>目标跟踪精细，智能分析准确</w:t>
      </w:r>
      <w:bookmarkEnd w:id="8"/>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支持驾驶人特征分析</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补光灯夜间采用红光进行补光</w:t>
      </w:r>
    </w:p>
    <w:p>
      <w:pPr>
        <w:numPr>
          <w:ilvl w:val="0"/>
          <w:numId w:val="7"/>
        </w:numPr>
        <w:spacing w:line="360" w:lineRule="auto"/>
        <w:ind w:left="0" w:firstLine="480" w:firstLineChars="200"/>
        <w:rPr>
          <w:rFonts w:ascii="宋体" w:hAnsi="宋体" w:cs="宋体"/>
          <w:sz w:val="24"/>
        </w:rPr>
      </w:pPr>
      <w:bookmarkStart w:id="9" w:name="_Toc398025013"/>
      <w:r>
        <w:rPr>
          <w:rFonts w:hint="eastAsia" w:ascii="宋体" w:hAnsi="宋体" w:cs="宋体"/>
          <w:sz w:val="24"/>
        </w:rPr>
        <w:t>视频流畅</w:t>
      </w:r>
      <w:bookmarkEnd w:id="9"/>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图像质量较优</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接口丰富，摄像机集成度高</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全过程数据安全加密处理</w:t>
      </w:r>
    </w:p>
    <w:p>
      <w:pPr>
        <w:numPr>
          <w:ilvl w:val="0"/>
          <w:numId w:val="7"/>
        </w:numPr>
        <w:spacing w:line="360" w:lineRule="auto"/>
        <w:ind w:left="0" w:firstLine="480" w:firstLineChars="200"/>
        <w:rPr>
          <w:rFonts w:ascii="宋体" w:hAnsi="宋体" w:cs="宋体"/>
          <w:sz w:val="24"/>
        </w:rPr>
      </w:pPr>
      <w:bookmarkStart w:id="10" w:name="_Toc306806996"/>
      <w:bookmarkStart w:id="11" w:name="_Toc27095"/>
      <w:bookmarkStart w:id="12" w:name="_Toc306642254"/>
      <w:bookmarkStart w:id="13" w:name="_Toc398025017"/>
      <w:bookmarkStart w:id="14" w:name="_Toc306798020"/>
      <w:r>
        <w:rPr>
          <w:rFonts w:hint="eastAsia" w:ascii="宋体" w:hAnsi="宋体" w:cs="宋体"/>
          <w:sz w:val="24"/>
        </w:rPr>
        <w:t>数据安全保障技术</w:t>
      </w:r>
      <w:bookmarkEnd w:id="10"/>
      <w:bookmarkEnd w:id="11"/>
      <w:bookmarkEnd w:id="12"/>
      <w:bookmarkEnd w:id="13"/>
      <w:bookmarkEnd w:id="14"/>
      <w:r>
        <w:rPr>
          <w:rFonts w:hint="eastAsia" w:ascii="宋体" w:hAnsi="宋体" w:cs="宋体"/>
          <w:sz w:val="24"/>
        </w:rPr>
        <w:t>先进</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全嵌入式结构、无风扇设计，全机身散热</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摄像机内置车牌识别等智能算法</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低功耗，适合太阳能供电</w:t>
      </w:r>
    </w:p>
    <w:p>
      <w:pPr>
        <w:numPr>
          <w:ilvl w:val="0"/>
          <w:numId w:val="7"/>
        </w:numPr>
        <w:spacing w:line="360" w:lineRule="auto"/>
        <w:ind w:left="0" w:firstLine="480" w:firstLineChars="200"/>
        <w:rPr>
          <w:rFonts w:ascii="宋体" w:hAnsi="宋体" w:cs="宋体"/>
          <w:sz w:val="24"/>
        </w:rPr>
      </w:pPr>
      <w:bookmarkStart w:id="15" w:name="_Toc278458515"/>
      <w:bookmarkStart w:id="16" w:name="_Toc398025021"/>
      <w:bookmarkStart w:id="17" w:name="_Toc296435640"/>
      <w:bookmarkStart w:id="18" w:name="_Toc306798025"/>
      <w:bookmarkStart w:id="19" w:name="_Toc296441790"/>
      <w:bookmarkStart w:id="20" w:name="_Toc274324751"/>
      <w:bookmarkStart w:id="21" w:name="_Toc296437215"/>
      <w:bookmarkStart w:id="22" w:name="_Toc306642259"/>
      <w:bookmarkStart w:id="23" w:name="_Toc50"/>
      <w:bookmarkStart w:id="24" w:name="_Toc306807001"/>
      <w:bookmarkStart w:id="25" w:name="_Toc269282097"/>
      <w:bookmarkStart w:id="26" w:name="_Toc272240957"/>
      <w:bookmarkStart w:id="27" w:name="_Toc269299849"/>
      <w:r>
        <w:rPr>
          <w:rFonts w:hint="eastAsia" w:ascii="宋体" w:hAnsi="宋体" w:cs="宋体"/>
          <w:sz w:val="24"/>
        </w:rPr>
        <w:t>安装、维护简单，工作量小</w:t>
      </w:r>
      <w:bookmarkEnd w:id="15"/>
      <w:bookmarkEnd w:id="16"/>
      <w:bookmarkEnd w:id="17"/>
      <w:bookmarkEnd w:id="18"/>
      <w:bookmarkEnd w:id="19"/>
      <w:bookmarkEnd w:id="20"/>
      <w:bookmarkEnd w:id="21"/>
      <w:bookmarkEnd w:id="22"/>
      <w:bookmarkEnd w:id="23"/>
      <w:bookmarkEnd w:id="24"/>
    </w:p>
    <w:bookmarkEnd w:id="25"/>
    <w:bookmarkEnd w:id="26"/>
    <w:bookmarkEnd w:id="27"/>
    <w:p>
      <w:pPr>
        <w:numPr>
          <w:ilvl w:val="0"/>
          <w:numId w:val="7"/>
        </w:numPr>
        <w:spacing w:line="360" w:lineRule="auto"/>
        <w:ind w:left="0" w:firstLine="480" w:firstLineChars="200"/>
        <w:rPr>
          <w:rFonts w:ascii="宋体" w:hAnsi="宋体" w:cs="宋体"/>
          <w:sz w:val="24"/>
        </w:rPr>
      </w:pPr>
      <w:bookmarkStart w:id="28" w:name="_Toc398025022"/>
      <w:bookmarkStart w:id="29" w:name="_Toc306642257"/>
      <w:bookmarkStart w:id="30" w:name="_Toc26563"/>
      <w:bookmarkStart w:id="31" w:name="_Toc306798023"/>
      <w:bookmarkStart w:id="32" w:name="_Toc306806999"/>
      <w:bookmarkStart w:id="33" w:name="_Toc306611030"/>
      <w:r>
        <w:rPr>
          <w:rFonts w:hint="eastAsia" w:ascii="宋体" w:hAnsi="宋体" w:cs="宋体"/>
          <w:sz w:val="24"/>
        </w:rPr>
        <w:t>工业级设计适应室外恶劣环境</w:t>
      </w:r>
      <w:bookmarkEnd w:id="28"/>
      <w:bookmarkEnd w:id="29"/>
      <w:bookmarkEnd w:id="30"/>
      <w:bookmarkEnd w:id="31"/>
      <w:bookmarkEnd w:id="32"/>
      <w:bookmarkEnd w:id="33"/>
    </w:p>
    <w:p>
      <w:pPr>
        <w:numPr>
          <w:ilvl w:val="0"/>
          <w:numId w:val="7"/>
        </w:numPr>
        <w:spacing w:line="360" w:lineRule="auto"/>
        <w:ind w:left="0" w:firstLine="480" w:firstLineChars="200"/>
        <w:rPr>
          <w:rFonts w:ascii="宋体" w:hAnsi="宋体" w:cs="宋体"/>
          <w:sz w:val="24"/>
        </w:rPr>
      </w:pPr>
      <w:bookmarkStart w:id="34" w:name="_Toc306798006"/>
      <w:bookmarkStart w:id="35" w:name="_Toc27802"/>
      <w:bookmarkStart w:id="36" w:name="_Toc306642240"/>
      <w:bookmarkStart w:id="37" w:name="_Toc306806982"/>
      <w:bookmarkStart w:id="38" w:name="_Toc398025023"/>
      <w:r>
        <w:rPr>
          <w:rFonts w:hint="eastAsia" w:ascii="宋体" w:hAnsi="宋体" w:cs="宋体"/>
          <w:sz w:val="24"/>
        </w:rPr>
        <w:t>单设备独立运行能力</w:t>
      </w:r>
      <w:bookmarkEnd w:id="34"/>
      <w:bookmarkEnd w:id="35"/>
      <w:bookmarkEnd w:id="36"/>
      <w:bookmarkEnd w:id="37"/>
      <w:bookmarkEnd w:id="38"/>
    </w:p>
    <w:p>
      <w:pPr>
        <w:numPr>
          <w:ilvl w:val="0"/>
          <w:numId w:val="7"/>
        </w:numPr>
        <w:spacing w:line="360" w:lineRule="auto"/>
        <w:ind w:left="0" w:firstLine="480" w:firstLineChars="200"/>
        <w:rPr>
          <w:rFonts w:ascii="宋体" w:hAnsi="宋体" w:cs="宋体"/>
          <w:sz w:val="24"/>
        </w:rPr>
      </w:pPr>
      <w:bookmarkStart w:id="39" w:name="_Toc306642241"/>
      <w:bookmarkStart w:id="40" w:name="_Toc23238"/>
      <w:bookmarkStart w:id="41" w:name="_Toc306806983"/>
      <w:bookmarkStart w:id="42" w:name="_Toc306798007"/>
      <w:bookmarkStart w:id="43" w:name="_Toc398025024"/>
      <w:r>
        <w:rPr>
          <w:rFonts w:hint="eastAsia" w:ascii="宋体" w:hAnsi="宋体" w:cs="宋体"/>
          <w:sz w:val="24"/>
        </w:rPr>
        <w:t>先进的视频检测算法</w:t>
      </w:r>
      <w:bookmarkEnd w:id="39"/>
      <w:bookmarkEnd w:id="40"/>
      <w:bookmarkEnd w:id="41"/>
      <w:bookmarkEnd w:id="42"/>
      <w:bookmarkEnd w:id="43"/>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对光照气候环境良好的适应性</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准确抓拍无牌或者号牌遮挡车辆</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多车道、多车辆同时号牌识别</w:t>
      </w:r>
    </w:p>
    <w:p>
      <w:pPr>
        <w:numPr>
          <w:ilvl w:val="0"/>
          <w:numId w:val="7"/>
        </w:numPr>
        <w:spacing w:line="360" w:lineRule="auto"/>
        <w:ind w:left="0" w:firstLine="480" w:firstLineChars="200"/>
        <w:rPr>
          <w:rFonts w:ascii="宋体" w:hAnsi="宋体" w:cs="宋体"/>
          <w:sz w:val="24"/>
        </w:rPr>
      </w:pPr>
      <w:bookmarkStart w:id="44" w:name="_Toc26835"/>
      <w:bookmarkStart w:id="45" w:name="_Toc306806988"/>
      <w:bookmarkStart w:id="46" w:name="_Toc306642246"/>
      <w:bookmarkStart w:id="47" w:name="_Toc306798012"/>
      <w:bookmarkStart w:id="48" w:name="_Toc398025028"/>
      <w:r>
        <w:rPr>
          <w:rFonts w:hint="eastAsia" w:ascii="宋体" w:hAnsi="宋体" w:cs="宋体"/>
          <w:sz w:val="24"/>
        </w:rPr>
        <w:t>车牌识别速度快</w:t>
      </w:r>
      <w:bookmarkEnd w:id="44"/>
      <w:bookmarkEnd w:id="45"/>
      <w:bookmarkEnd w:id="46"/>
      <w:bookmarkEnd w:id="47"/>
      <w:bookmarkEnd w:id="48"/>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车牌识别像素、角度容忍度高</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车牌识别准确率高</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双码流摄像机，同步支持抓拍和录像</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Linux系统防病毒</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模块化设计，稳定性和扩展性强</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全系统设备运行状态自动监测</w:t>
      </w:r>
    </w:p>
    <w:p>
      <w:pPr>
        <w:numPr>
          <w:ilvl w:val="0"/>
          <w:numId w:val="7"/>
        </w:numPr>
        <w:spacing w:line="360" w:lineRule="auto"/>
        <w:ind w:left="0" w:firstLine="480" w:firstLineChars="200"/>
        <w:rPr>
          <w:rFonts w:ascii="宋体" w:hAnsi="宋体" w:cs="宋体"/>
          <w:sz w:val="24"/>
        </w:rPr>
      </w:pPr>
      <w:bookmarkStart w:id="49" w:name="_Toc306642256"/>
      <w:bookmarkStart w:id="50" w:name="_Toc306611029"/>
      <w:bookmarkStart w:id="51" w:name="_Toc398025035"/>
      <w:bookmarkStart w:id="52" w:name="_Toc306798022"/>
      <w:bookmarkStart w:id="53" w:name="_Toc306806998"/>
      <w:bookmarkStart w:id="54" w:name="_Toc4993"/>
      <w:r>
        <w:rPr>
          <w:rFonts w:hint="eastAsia" w:ascii="宋体" w:hAnsi="宋体" w:cs="宋体"/>
          <w:sz w:val="24"/>
        </w:rPr>
        <w:t>较长的使用寿命</w:t>
      </w:r>
      <w:bookmarkEnd w:id="49"/>
      <w:bookmarkEnd w:id="50"/>
      <w:bookmarkEnd w:id="51"/>
      <w:bookmarkEnd w:id="52"/>
      <w:bookmarkEnd w:id="53"/>
      <w:bookmarkEnd w:id="54"/>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良好的系统扩展性</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.4主要设备技术指标</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.4.1 900W闯红灯电子警察抓拍摄像机</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.4.2 900W反向环保卡口抓拍摄像机</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.4.3 雷视一体摄像机</w:t>
      </w:r>
    </w:p>
    <w:p>
      <w:pPr>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left="425"/>
        <w:outlineLvl w:val="1"/>
        <w:rPr>
          <w:rFonts w:ascii="宋体" w:hAnsi="宋体"/>
          <w:b/>
          <w:bCs/>
          <w:sz w:val="24"/>
        </w:rPr>
      </w:pPr>
      <w:r>
        <w:rPr>
          <w:rFonts w:ascii="宋体" w:hAnsi="宋体"/>
          <w:b/>
          <w:bCs/>
          <w:sz w:val="24"/>
        </w:rPr>
        <w:t>6</w:t>
      </w:r>
      <w:r>
        <w:rPr>
          <w:rFonts w:hint="eastAsia" w:ascii="宋体" w:hAnsi="宋体"/>
          <w:b/>
          <w:bCs/>
          <w:sz w:val="24"/>
        </w:rPr>
        <w:t>.4.4智能补光灯</w:t>
      </w:r>
    </w:p>
    <w:p>
      <w:pPr>
        <w:spacing w:line="360" w:lineRule="auto"/>
        <w:ind w:firstLine="480" w:firstLineChars="200"/>
        <w:rPr>
          <w:rFonts w:ascii="宋体" w:hAnsi="宋体" w:cs="宋体"/>
          <w:sz w:val="24"/>
        </w:rPr>
      </w:pPr>
      <w:r>
        <w:rPr>
          <w:rFonts w:hint="eastAsia" w:ascii="宋体" w:hAnsi="宋体" w:cs="宋体"/>
          <w:sz w:val="24"/>
        </w:rPr>
        <w:t>本项目设计的补光灯在配合抓人脸方向电警摄像机使用时，采用生态环保型智能补光灯形式，每条车道各安装配置1套；在配合抓闯红灯车尾方向电警摄像机使用时，采用LED智能补光灯，每条车道各安装配置1套，相关技术参数详见工程量清单。</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.4.5 交通终端管理设备</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left="425"/>
        <w:outlineLvl w:val="1"/>
        <w:rPr>
          <w:rFonts w:ascii="宋体" w:hAnsi="宋体"/>
          <w:b/>
          <w:bCs/>
          <w:sz w:val="24"/>
        </w:rPr>
      </w:pPr>
      <w:r>
        <w:rPr>
          <w:rFonts w:ascii="宋体" w:hAnsi="宋体"/>
          <w:b/>
          <w:bCs/>
          <w:sz w:val="24"/>
        </w:rPr>
        <w:t>6</w:t>
      </w:r>
      <w:r>
        <w:rPr>
          <w:rFonts w:hint="eastAsia" w:ascii="宋体" w:hAnsi="宋体"/>
          <w:b/>
          <w:bCs/>
          <w:sz w:val="24"/>
        </w:rPr>
        <w:t>.4.6 控制机箱工业交换机</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left="425"/>
        <w:outlineLvl w:val="1"/>
        <w:rPr>
          <w:rFonts w:ascii="宋体" w:hAnsi="宋体"/>
          <w:b/>
          <w:bCs/>
          <w:sz w:val="24"/>
        </w:rPr>
      </w:pPr>
      <w:r>
        <w:rPr>
          <w:rFonts w:ascii="宋体" w:hAnsi="宋体"/>
          <w:b/>
          <w:bCs/>
          <w:sz w:val="24"/>
        </w:rPr>
        <w:t>6</w:t>
      </w:r>
      <w:r>
        <w:rPr>
          <w:rFonts w:hint="eastAsia" w:ascii="宋体" w:hAnsi="宋体"/>
          <w:b/>
          <w:bCs/>
          <w:sz w:val="24"/>
        </w:rPr>
        <w:t>.4.7 挂箱工业交换机</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ind w:left="425"/>
        <w:outlineLvl w:val="1"/>
        <w:rPr>
          <w:rFonts w:ascii="宋体" w:hAnsi="宋体"/>
          <w:b/>
          <w:bCs/>
          <w:sz w:val="24"/>
        </w:rPr>
      </w:pPr>
      <w:r>
        <w:rPr>
          <w:rFonts w:ascii="宋体" w:hAnsi="宋体"/>
          <w:b/>
          <w:bCs/>
          <w:sz w:val="24"/>
        </w:rPr>
        <w:t>6</w:t>
      </w:r>
      <w:r>
        <w:rPr>
          <w:rFonts w:hint="eastAsia" w:ascii="宋体" w:hAnsi="宋体"/>
          <w:b/>
          <w:bCs/>
          <w:sz w:val="24"/>
        </w:rPr>
        <w:t>.4.8 交通信号灯检测器</w:t>
      </w:r>
    </w:p>
    <w:p>
      <w:pPr>
        <w:tabs>
          <w:tab w:val="left" w:pos="840"/>
        </w:tabs>
        <w:spacing w:line="360" w:lineRule="auto"/>
        <w:ind w:right="23" w:rightChars="11" w:firstLine="480" w:firstLineChars="200"/>
        <w:rPr>
          <w:rFonts w:ascii="宋体" w:hAnsi="宋体" w:cs="宋体"/>
          <w:sz w:val="24"/>
        </w:rPr>
      </w:pPr>
      <w:r>
        <w:rPr>
          <w:rFonts w:hint="eastAsia" w:ascii="宋体" w:hAnsi="宋体" w:cs="宋体"/>
          <w:sz w:val="24"/>
        </w:rPr>
        <w:t>相关技术参数详见工程量清单。</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.5数据接入要求</w:t>
      </w:r>
    </w:p>
    <w:p>
      <w:pPr>
        <w:spacing w:line="360" w:lineRule="auto"/>
        <w:ind w:firstLine="480" w:firstLineChars="200"/>
        <w:rPr>
          <w:rFonts w:ascii="宋体" w:hAnsi="宋体" w:cs="宋体"/>
          <w:sz w:val="24"/>
        </w:rPr>
      </w:pPr>
      <w:r>
        <w:rPr>
          <w:rFonts w:hint="eastAsia" w:ascii="宋体" w:hAnsi="宋体" w:cs="宋体"/>
          <w:sz w:val="24"/>
        </w:rPr>
        <w:t>电子警察数据信息应通过光纤传输方式接入交管部门数据控制中心，相应数据传输应满足以下标准要求。</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.5.1 图片记录要求</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图片格式应采用JPEG格式，JPEG图片编码应符合ISO/IEC 15444:2000的要求。</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图片应具有防篡改功能。图片至少为24位真彩图像，单幅图片尺寸不少于(768×576)个像素点。</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应记录机动车闯红灯过程中两至三个位置的信息以反映机动车闯红灯违法过程。第一个位置的信息应能清晰辨别闯红灯时间、车辆类型、红灯信号、机动车车身未越过停止线的情况；第二和第三个位置的信息应能清晰辨别闯红灯时间、车辆类型、红灯信号和整个机动车车身已经越过停止线并且在相应红灯相位继续行驶的情况。</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图片由前端设备进行合成（3张过程、1张特写），大小不超过300K。</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图片上叠加的内容必须有如下信息。</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设备编号、地点、方向、日期：XXXX年XX月XX日、时间（精确到毫秒）、车道、防伪码。</w:t>
      </w:r>
    </w:p>
    <w:p>
      <w:pPr>
        <w:numPr>
          <w:ilvl w:val="0"/>
          <w:numId w:val="7"/>
        </w:numPr>
        <w:spacing w:line="360" w:lineRule="auto"/>
        <w:ind w:left="0" w:firstLine="480" w:firstLineChars="200"/>
        <w:rPr>
          <w:rFonts w:ascii="宋体" w:hAnsi="宋体" w:cs="宋体"/>
          <w:sz w:val="24"/>
        </w:rPr>
      </w:pPr>
      <w:r>
        <w:rPr>
          <w:rFonts w:hint="eastAsia" w:ascii="宋体" w:hAnsi="宋体" w:cs="宋体"/>
          <w:sz w:val="24"/>
        </w:rPr>
        <w:t>图片上叠加的文字应保证在任何天气、不同光照的情况下都能正常识别。</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.5.2 图片上传方式要求</w:t>
      </w:r>
    </w:p>
    <w:p>
      <w:pPr>
        <w:spacing w:line="360" w:lineRule="auto"/>
        <w:ind w:firstLine="480" w:firstLineChars="200"/>
        <w:rPr>
          <w:rFonts w:ascii="宋体" w:hAnsi="宋体" w:cs="宋体"/>
          <w:sz w:val="24"/>
        </w:rPr>
      </w:pPr>
      <w:r>
        <w:rPr>
          <w:rFonts w:hint="eastAsia" w:ascii="宋体" w:hAnsi="宋体" w:cs="宋体"/>
          <w:sz w:val="24"/>
        </w:rPr>
        <w:t>图片采用FTP协议主动上传，每一个过车通过文件名进行区分，上传的文件名必须采用以下名命要求：</w:t>
      </w:r>
    </w:p>
    <w:p>
      <w:pPr>
        <w:spacing w:line="360" w:lineRule="auto"/>
        <w:ind w:firstLine="480" w:firstLineChars="200"/>
        <w:rPr>
          <w:rFonts w:ascii="宋体" w:hAnsi="宋体" w:cs="宋体"/>
          <w:sz w:val="24"/>
        </w:rPr>
      </w:pPr>
      <w:r>
        <w:rPr>
          <w:rFonts w:hint="eastAsia" w:ascii="宋体" w:hAnsi="宋体" w:cs="宋体"/>
          <w:sz w:val="24"/>
        </w:rPr>
        <w:t>设备编号_方向编号_车道编号_经过时间_车牌号_号牌类型_总图片张数_当前张数.jpg。</w:t>
      </w:r>
    </w:p>
    <w:p>
      <w:pPr>
        <w:numPr>
          <w:ilvl w:val="0"/>
          <w:numId w:val="7"/>
        </w:numPr>
        <w:spacing w:line="360" w:lineRule="auto"/>
        <w:ind w:left="0" w:firstLine="482"/>
        <w:rPr>
          <w:rFonts w:ascii="宋体" w:hAnsi="宋体" w:cs="宋体"/>
          <w:sz w:val="24"/>
        </w:rPr>
      </w:pPr>
      <w:r>
        <w:rPr>
          <w:rFonts w:hint="eastAsia" w:ascii="宋体" w:hAnsi="宋体" w:cs="宋体"/>
          <w:sz w:val="24"/>
        </w:rPr>
        <w:t>设备编号：XXXXXX XXXX前六位行政区划代码；后四位0000-9999 表示设备编号，与图片上叠加设备编号相同。</w:t>
      </w:r>
    </w:p>
    <w:p>
      <w:pPr>
        <w:numPr>
          <w:ilvl w:val="0"/>
          <w:numId w:val="7"/>
        </w:numPr>
        <w:spacing w:line="360" w:lineRule="auto"/>
        <w:ind w:left="0" w:firstLine="482"/>
        <w:rPr>
          <w:rFonts w:ascii="宋体" w:hAnsi="宋体" w:cs="宋体"/>
          <w:sz w:val="24"/>
        </w:rPr>
      </w:pPr>
      <w:r>
        <w:rPr>
          <w:rFonts w:hint="eastAsia" w:ascii="宋体" w:hAnsi="宋体" w:cs="宋体"/>
          <w:sz w:val="24"/>
        </w:rPr>
        <w:t>方向编号：XX 表示过车的方向。</w:t>
      </w:r>
    </w:p>
    <w:p>
      <w:pPr>
        <w:numPr>
          <w:ilvl w:val="0"/>
          <w:numId w:val="7"/>
        </w:numPr>
        <w:spacing w:line="360" w:lineRule="auto"/>
        <w:ind w:left="0" w:firstLine="482"/>
        <w:rPr>
          <w:rFonts w:ascii="宋体" w:hAnsi="宋体" w:cs="宋体"/>
          <w:sz w:val="24"/>
        </w:rPr>
      </w:pPr>
      <w:r>
        <w:rPr>
          <w:rFonts w:hint="eastAsia" w:ascii="宋体" w:hAnsi="宋体" w:cs="宋体"/>
          <w:sz w:val="24"/>
        </w:rPr>
        <w:t>车道编号：XX 从快车道向慢车道记数，由1开始。</w:t>
      </w:r>
    </w:p>
    <w:p>
      <w:pPr>
        <w:numPr>
          <w:ilvl w:val="0"/>
          <w:numId w:val="7"/>
        </w:numPr>
        <w:spacing w:line="360" w:lineRule="auto"/>
        <w:ind w:left="0" w:firstLine="482"/>
        <w:rPr>
          <w:rFonts w:ascii="宋体" w:hAnsi="宋体" w:cs="宋体"/>
          <w:sz w:val="24"/>
        </w:rPr>
      </w:pPr>
      <w:r>
        <w:rPr>
          <w:rFonts w:hint="eastAsia" w:ascii="宋体" w:hAnsi="宋体" w:cs="宋体"/>
          <w:sz w:val="24"/>
        </w:rPr>
        <w:t>经过时间：XXXXXXXXXXXXXX 过车经过的时间如：20120914125959 表示：2012-09-14 12:59:59</w:t>
      </w:r>
    </w:p>
    <w:p>
      <w:pPr>
        <w:numPr>
          <w:ilvl w:val="0"/>
          <w:numId w:val="7"/>
        </w:numPr>
        <w:spacing w:line="360" w:lineRule="auto"/>
        <w:ind w:left="0" w:firstLine="482"/>
        <w:rPr>
          <w:rFonts w:ascii="宋体" w:hAnsi="宋体" w:cs="宋体"/>
          <w:sz w:val="24"/>
        </w:rPr>
      </w:pPr>
      <w:r>
        <w:rPr>
          <w:rFonts w:hint="eastAsia" w:ascii="宋体" w:hAnsi="宋体" w:cs="宋体"/>
          <w:sz w:val="24"/>
        </w:rPr>
        <w:t>车牌号：如果有识别功能的电警，则写过车的车牌号，如果无则留空。</w:t>
      </w:r>
    </w:p>
    <w:p>
      <w:pPr>
        <w:numPr>
          <w:ilvl w:val="0"/>
          <w:numId w:val="7"/>
        </w:numPr>
        <w:spacing w:line="360" w:lineRule="auto"/>
        <w:ind w:left="0" w:firstLine="482"/>
        <w:rPr>
          <w:rFonts w:ascii="宋体" w:hAnsi="宋体" w:cs="宋体"/>
          <w:sz w:val="24"/>
        </w:rPr>
      </w:pPr>
      <w:r>
        <w:rPr>
          <w:rFonts w:hint="eastAsia" w:ascii="宋体" w:hAnsi="宋体" w:cs="宋体"/>
          <w:sz w:val="24"/>
        </w:rPr>
        <w:t>号牌类型：GA24.4-2005标准，如无则留空。</w:t>
      </w:r>
    </w:p>
    <w:p>
      <w:pPr>
        <w:numPr>
          <w:ilvl w:val="0"/>
          <w:numId w:val="7"/>
        </w:numPr>
        <w:spacing w:line="360" w:lineRule="auto"/>
        <w:ind w:left="0" w:firstLine="482"/>
        <w:rPr>
          <w:rFonts w:ascii="宋体" w:hAnsi="宋体" w:cs="宋体"/>
          <w:sz w:val="24"/>
        </w:rPr>
      </w:pPr>
      <w:r>
        <w:rPr>
          <w:rFonts w:hint="eastAsia" w:ascii="宋体" w:hAnsi="宋体" w:cs="宋体"/>
          <w:sz w:val="24"/>
        </w:rPr>
        <w:t>总图片张数：本违法共有图片的张数。</w:t>
      </w:r>
    </w:p>
    <w:p>
      <w:pPr>
        <w:numPr>
          <w:ilvl w:val="0"/>
          <w:numId w:val="7"/>
        </w:numPr>
        <w:spacing w:line="360" w:lineRule="auto"/>
        <w:ind w:left="0" w:firstLine="482"/>
        <w:rPr>
          <w:rFonts w:ascii="宋体" w:hAnsi="宋体" w:cs="宋体"/>
          <w:sz w:val="24"/>
        </w:rPr>
      </w:pPr>
      <w:r>
        <w:rPr>
          <w:rFonts w:hint="eastAsia" w:ascii="宋体" w:hAnsi="宋体" w:cs="宋体"/>
          <w:sz w:val="24"/>
        </w:rPr>
        <w:t>当前张数：当前张数。</w:t>
      </w:r>
    </w:p>
    <w:p>
      <w:pPr>
        <w:numPr>
          <w:ilvl w:val="0"/>
          <w:numId w:val="7"/>
        </w:numPr>
        <w:spacing w:line="360" w:lineRule="auto"/>
        <w:ind w:left="0" w:firstLine="482"/>
        <w:rPr>
          <w:rFonts w:ascii="宋体" w:hAnsi="宋体" w:cs="宋体"/>
          <w:sz w:val="24"/>
        </w:rPr>
      </w:pPr>
      <w:r>
        <w:rPr>
          <w:rFonts w:hint="eastAsia" w:ascii="宋体" w:hAnsi="宋体" w:cs="宋体"/>
          <w:sz w:val="24"/>
        </w:rPr>
        <w:t>如上述方式还有不能传送的其它必须信息，则再传送一个相同文件名的文本文件里做说明。</w:t>
      </w:r>
    </w:p>
    <w:p>
      <w:pPr>
        <w:spacing w:line="360" w:lineRule="auto"/>
        <w:outlineLvl w:val="1"/>
        <w:rPr>
          <w:rFonts w:ascii="宋体" w:hAnsi="宋体"/>
          <w:b/>
          <w:bCs/>
          <w:sz w:val="24"/>
        </w:rPr>
      </w:pPr>
      <w:r>
        <w:rPr>
          <w:rFonts w:ascii="宋体" w:hAnsi="宋体"/>
          <w:b/>
          <w:bCs/>
          <w:sz w:val="24"/>
        </w:rPr>
        <w:t>6</w:t>
      </w:r>
      <w:r>
        <w:rPr>
          <w:rFonts w:hint="eastAsia" w:ascii="宋体" w:hAnsi="宋体"/>
          <w:b/>
          <w:bCs/>
          <w:sz w:val="24"/>
        </w:rPr>
        <w:t>.6电子警察施工技术要求</w:t>
      </w:r>
    </w:p>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.6.1 立杆位置的确定</w:t>
      </w:r>
    </w:p>
    <w:p>
      <w:pPr>
        <w:tabs>
          <w:tab w:val="left" w:pos="0"/>
        </w:tabs>
        <w:spacing w:line="360" w:lineRule="auto"/>
        <w:ind w:firstLine="480" w:firstLineChars="200"/>
        <w:jc w:val="left"/>
        <w:rPr>
          <w:sz w:val="24"/>
        </w:rPr>
      </w:pPr>
      <w:r>
        <w:rPr>
          <w:rFonts w:hint="eastAsia" w:cs="宋体"/>
          <w:sz w:val="24"/>
        </w:rPr>
        <w:t>为达到最佳抓拍效果，电子警察立杆距停止线的距离一般为</w:t>
      </w:r>
      <w:r>
        <w:rPr>
          <w:sz w:val="24"/>
        </w:rPr>
        <w:t>20</w:t>
      </w:r>
      <w:r>
        <w:rPr>
          <w:rFonts w:hint="eastAsia" w:cs="宋体"/>
          <w:sz w:val="24"/>
        </w:rPr>
        <w:t>～</w:t>
      </w:r>
      <w:r>
        <w:rPr>
          <w:sz w:val="24"/>
        </w:rPr>
        <w:t>30</w:t>
      </w:r>
      <w:r>
        <w:rPr>
          <w:rFonts w:hint="eastAsia" w:cs="宋体"/>
          <w:sz w:val="24"/>
        </w:rPr>
        <w:t>米（具体位置为保障摄像机抓拍效果）。确定立杆位置后，从最靠后的停止线开始（一般为左转车道）量取</w:t>
      </w:r>
      <w:r>
        <w:rPr>
          <w:sz w:val="24"/>
        </w:rPr>
        <w:t>20</w:t>
      </w:r>
      <w:r>
        <w:rPr>
          <w:rFonts w:hint="eastAsia" w:cs="宋体"/>
          <w:sz w:val="24"/>
        </w:rPr>
        <w:t>～</w:t>
      </w:r>
      <w:r>
        <w:rPr>
          <w:sz w:val="24"/>
        </w:rPr>
        <w:t>30</w:t>
      </w:r>
      <w:r>
        <w:rPr>
          <w:rFonts w:hint="eastAsia" w:cs="宋体"/>
          <w:sz w:val="24"/>
        </w:rPr>
        <w:t>米的距离</w:t>
      </w:r>
      <w:r>
        <w:rPr>
          <w:sz w:val="24"/>
        </w:rPr>
        <w:t>(</w:t>
      </w:r>
      <w:r>
        <w:rPr>
          <w:rFonts w:hint="eastAsia" w:cs="宋体"/>
          <w:sz w:val="24"/>
        </w:rPr>
        <w:t>计算确定</w:t>
      </w:r>
      <w:r>
        <w:rPr>
          <w:sz w:val="24"/>
        </w:rPr>
        <w:t>)</w:t>
      </w:r>
      <w:r>
        <w:rPr>
          <w:rFonts w:hint="eastAsia" w:cs="宋体"/>
          <w:sz w:val="24"/>
        </w:rPr>
        <w:t>。将抓拍机放在要拍摄的车道中央，升高至</w:t>
      </w:r>
      <w:r>
        <w:rPr>
          <w:sz w:val="24"/>
        </w:rPr>
        <w:t>6.2</w:t>
      </w:r>
      <w:r>
        <w:rPr>
          <w:rFonts w:hint="eastAsia" w:cs="宋体"/>
          <w:sz w:val="24"/>
        </w:rPr>
        <w:t>～</w:t>
      </w:r>
      <w:r>
        <w:rPr>
          <w:sz w:val="24"/>
        </w:rPr>
        <w:t>6.5</w:t>
      </w:r>
      <w:r>
        <w:rPr>
          <w:rFonts w:hint="eastAsia" w:cs="宋体"/>
          <w:sz w:val="24"/>
        </w:rPr>
        <w:t>米。在视频显示器上查看图像。上下左右转动抓拍机，以使抓拍图像包含所有要拍摄的车道的停止线、中心线及相应的红色信号灯。</w:t>
      </w:r>
      <w:bookmarkStart w:id="55" w:name="_Toc124655350"/>
      <w:r>
        <w:rPr>
          <w:rFonts w:hint="eastAsia" w:ascii="宋体" w:hAnsi="宋体" w:cs="宋体"/>
          <w:sz w:val="24"/>
        </w:rPr>
        <w:t>图像采集采用不低于900万像素网络抓拍摄像一体机，安装有百万像素工业镜头，完成车辆检测、采集视频图像、闯红灯抓拍、卡口抓拍、逆行抓拍、触发闪光灯等功能。闯红灯电警每台摄像机可监控拍摄1—3个车道，反向卡口电警每台摄像机可监控拍摄1—</w:t>
      </w:r>
      <w:r>
        <w:rPr>
          <w:rFonts w:ascii="宋体" w:hAnsi="宋体" w:cs="宋体"/>
          <w:sz w:val="24"/>
        </w:rPr>
        <w:t>3</w:t>
      </w:r>
      <w:r>
        <w:rPr>
          <w:rFonts w:hint="eastAsia" w:ascii="宋体" w:hAnsi="宋体" w:cs="宋体"/>
          <w:sz w:val="24"/>
        </w:rPr>
        <w:t>个车道，雷视交通参数车检器可检测1-4个车道。</w:t>
      </w:r>
    </w:p>
    <w:bookmarkEnd w:id="55"/>
    <w:p>
      <w:pPr>
        <w:spacing w:line="360" w:lineRule="auto"/>
        <w:ind w:firstLine="480" w:firstLineChars="200"/>
        <w:outlineLvl w:val="2"/>
        <w:rPr>
          <w:rFonts w:ascii="宋体" w:hAnsi="宋体"/>
          <w:b/>
          <w:bCs/>
          <w:sz w:val="24"/>
        </w:rPr>
      </w:pPr>
      <w:r>
        <w:rPr>
          <w:rFonts w:ascii="宋体" w:hAnsi="宋体"/>
          <w:b/>
          <w:bCs/>
          <w:sz w:val="24"/>
        </w:rPr>
        <w:t>6</w:t>
      </w:r>
      <w:r>
        <w:rPr>
          <w:rFonts w:hint="eastAsia" w:ascii="宋体" w:hAnsi="宋体"/>
          <w:b/>
          <w:bCs/>
          <w:sz w:val="24"/>
        </w:rPr>
        <w:t>.6.2 支撑杆结构</w:t>
      </w:r>
    </w:p>
    <w:p>
      <w:pPr>
        <w:spacing w:line="360" w:lineRule="auto"/>
        <w:ind w:firstLine="480" w:firstLineChars="200"/>
        <w:rPr>
          <w:rFonts w:ascii="宋体" w:hAnsi="宋体" w:cs="宋体"/>
          <w:sz w:val="24"/>
        </w:rPr>
      </w:pPr>
      <w:r>
        <w:rPr>
          <w:rFonts w:hint="eastAsia" w:ascii="宋体" w:hAnsi="宋体" w:cs="宋体"/>
          <w:sz w:val="24"/>
        </w:rPr>
        <w:t>每个电子警杆件上附着挂箱。挂箱主要作用是放置车辆检测器和工业级光纤收发器、电源等配套附件，每个挂箱需配置空开和设备供电接口。箱体外喷按照《重庆市公共安全视频图像信息系统标识杆件机箱技术规范》要求处理。</w:t>
      </w:r>
    </w:p>
    <w:p>
      <w:pPr>
        <w:tabs>
          <w:tab w:val="left" w:pos="0"/>
        </w:tabs>
        <w:spacing w:line="360" w:lineRule="auto"/>
        <w:ind w:firstLine="480" w:firstLineChars="200"/>
        <w:jc w:val="left"/>
        <w:rPr>
          <w:sz w:val="24"/>
        </w:rPr>
      </w:pPr>
      <w:r>
        <w:rPr>
          <w:rFonts w:hint="eastAsia" w:cs="宋体"/>
          <w:sz w:val="24"/>
        </w:rPr>
        <w:t>基础混凝土强度为</w:t>
      </w:r>
      <w:r>
        <w:rPr>
          <w:sz w:val="24"/>
        </w:rPr>
        <w:t>C30</w:t>
      </w:r>
      <w:r>
        <w:rPr>
          <w:rFonts w:hint="eastAsia" w:cs="宋体"/>
          <w:sz w:val="24"/>
        </w:rPr>
        <w:t>，基础尺寸详见设计图纸。</w:t>
      </w:r>
      <w:bookmarkStart w:id="56" w:name="_Toc124655351"/>
      <w:r>
        <w:rPr>
          <w:rFonts w:hint="eastAsia" w:cs="宋体"/>
          <w:sz w:val="24"/>
        </w:rPr>
        <w:t>混凝土基础提前预制，并在路口引取符合规范要求的接地线。在混凝土基础达到最大强度后才能安装立杆。立杆安装前要注意把接地线引至杆内，并在检修孔至挂箱出线孔，挂箱至摄像机的位置串好拽线铁丝。</w:t>
      </w:r>
    </w:p>
    <w:p>
      <w:pPr>
        <w:tabs>
          <w:tab w:val="left" w:pos="0"/>
        </w:tabs>
        <w:spacing w:line="360" w:lineRule="auto"/>
        <w:ind w:firstLine="480" w:firstLineChars="200"/>
        <w:jc w:val="left"/>
        <w:rPr>
          <w:sz w:val="24"/>
        </w:rPr>
      </w:pPr>
      <w:r>
        <w:rPr>
          <w:rFonts w:hint="eastAsia" w:cs="宋体"/>
          <w:sz w:val="24"/>
        </w:rPr>
        <w:t>立杆、横杆、法兰盘的镀锌量为</w:t>
      </w:r>
      <w:r>
        <w:rPr>
          <w:sz w:val="24"/>
        </w:rPr>
        <w:t>600g/m</w:t>
      </w:r>
      <w:r>
        <w:rPr>
          <w:sz w:val="24"/>
          <w:vertAlign w:val="superscript"/>
        </w:rPr>
        <w:t>2</w:t>
      </w:r>
      <w:r>
        <w:rPr>
          <w:rFonts w:hint="eastAsia" w:cs="宋体"/>
          <w:sz w:val="24"/>
        </w:rPr>
        <w:t>；紧固件为</w:t>
      </w:r>
      <w:r>
        <w:rPr>
          <w:sz w:val="24"/>
        </w:rPr>
        <w:t>350g/m</w:t>
      </w:r>
      <w:r>
        <w:rPr>
          <w:sz w:val="24"/>
          <w:vertAlign w:val="superscript"/>
        </w:rPr>
        <w:t>2</w:t>
      </w:r>
      <w:r>
        <w:rPr>
          <w:rFonts w:hint="eastAsia" w:cs="宋体"/>
          <w:sz w:val="24"/>
        </w:rPr>
        <w:t>。</w:t>
      </w:r>
      <w:bookmarkEnd w:id="56"/>
    </w:p>
    <w:p>
      <w:pPr>
        <w:tabs>
          <w:tab w:val="left" w:pos="0"/>
        </w:tabs>
        <w:spacing w:line="360" w:lineRule="auto"/>
        <w:ind w:firstLine="480" w:firstLineChars="200"/>
        <w:jc w:val="left"/>
        <w:rPr>
          <w:rFonts w:cs="宋体"/>
          <w:sz w:val="24"/>
        </w:rPr>
      </w:pPr>
      <w:r>
        <w:rPr>
          <w:rFonts w:hint="eastAsia" w:cs="宋体"/>
          <w:sz w:val="24"/>
        </w:rPr>
        <w:t>地下管道、布线、手孔井施工等详见交通信号灯施工注意事项。</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违法停车抓拍设施设计</w:t>
      </w:r>
    </w:p>
    <w:p>
      <w:pPr>
        <w:spacing w:line="360" w:lineRule="auto"/>
        <w:ind w:firstLine="480" w:firstLineChars="200"/>
        <w:rPr>
          <w:rFonts w:ascii="宋体" w:hAnsi="宋体"/>
          <w:sz w:val="24"/>
        </w:rPr>
      </w:pPr>
      <w:r>
        <w:rPr>
          <w:rFonts w:hint="eastAsia" w:ascii="宋体" w:hAnsi="宋体"/>
          <w:sz w:val="24"/>
        </w:rPr>
        <w:t>为有效减少路段及路口（开口）出现违法停车，影响交通组织通行秩序和面貌，</w:t>
      </w:r>
      <w:r>
        <w:rPr>
          <w:rFonts w:hint="eastAsia"/>
          <w:sz w:val="24"/>
        </w:rPr>
        <w:t>本次设计</w:t>
      </w:r>
      <w:r>
        <w:rPr>
          <w:rFonts w:hint="eastAsia" w:ascii="宋体" w:hAnsi="宋体"/>
          <w:sz w:val="24"/>
        </w:rPr>
        <w:t>增设</w:t>
      </w:r>
      <w:r>
        <w:rPr>
          <w:rFonts w:ascii="宋体" w:hAnsi="宋体"/>
          <w:sz w:val="24"/>
        </w:rPr>
        <w:t>3</w:t>
      </w:r>
      <w:r>
        <w:rPr>
          <w:rFonts w:hint="eastAsia" w:ascii="宋体" w:hAnsi="宋体"/>
          <w:sz w:val="24"/>
        </w:rPr>
        <w:t>套违停抓拍设施，从而保障车辆高效、安全通行。</w:t>
      </w:r>
    </w:p>
    <w:p>
      <w:pPr>
        <w:tabs>
          <w:tab w:val="left" w:pos="0"/>
        </w:tabs>
        <w:spacing w:line="360" w:lineRule="auto"/>
        <w:ind w:firstLine="480" w:firstLineChars="200"/>
        <w:jc w:val="left"/>
        <w:rPr>
          <w:sz w:val="24"/>
        </w:rPr>
      </w:pPr>
      <w:r>
        <w:rPr>
          <w:rFonts w:hint="eastAsia"/>
          <w:sz w:val="24"/>
        </w:rPr>
        <w:t>违法停车</w:t>
      </w:r>
      <w:r>
        <w:rPr>
          <w:sz w:val="24"/>
        </w:rPr>
        <w:t>自动抓拍系统</w:t>
      </w:r>
      <w:r>
        <w:rPr>
          <w:rFonts w:hint="eastAsia"/>
          <w:sz w:val="24"/>
        </w:rPr>
        <w:t>按照前端</w:t>
      </w:r>
      <w:r>
        <w:rPr>
          <w:sz w:val="24"/>
        </w:rPr>
        <w:t>抓拍摄像机是否能够独立</w:t>
      </w:r>
      <w:r>
        <w:rPr>
          <w:rFonts w:hint="eastAsia"/>
          <w:sz w:val="24"/>
        </w:rPr>
        <w:t>完成违停检测、抓拍、车牌识别、数据上传到中心等工作分为</w:t>
      </w:r>
      <w:r>
        <w:rPr>
          <w:sz w:val="24"/>
        </w:rPr>
        <w:t>分体式自动</w:t>
      </w:r>
      <w:r>
        <w:rPr>
          <w:rFonts w:hint="eastAsia"/>
          <w:sz w:val="24"/>
        </w:rPr>
        <w:t>抓拍</w:t>
      </w:r>
      <w:r>
        <w:rPr>
          <w:sz w:val="24"/>
        </w:rPr>
        <w:t>系统及一体化自动抓拍系统。</w:t>
      </w:r>
      <w:r>
        <w:rPr>
          <w:rFonts w:hint="eastAsia"/>
          <w:sz w:val="24"/>
        </w:rPr>
        <w:t>其中，分体式</w:t>
      </w:r>
      <w:r>
        <w:rPr>
          <w:sz w:val="24"/>
        </w:rPr>
        <w:t>自动抓拍系统又分为</w:t>
      </w:r>
      <w:r>
        <w:rPr>
          <w:rFonts w:hint="eastAsia"/>
          <w:sz w:val="24"/>
        </w:rPr>
        <w:t>前置或后置两种方式。基于前置式设计，检测分析服务器对</w:t>
      </w:r>
      <w:r>
        <w:rPr>
          <w:sz w:val="24"/>
        </w:rPr>
        <w:t>接入</w:t>
      </w:r>
      <w:r>
        <w:rPr>
          <w:rFonts w:hint="eastAsia"/>
          <w:sz w:val="24"/>
        </w:rPr>
        <w:t>视频进行分析，再将</w:t>
      </w:r>
      <w:r>
        <w:rPr>
          <w:sz w:val="24"/>
        </w:rPr>
        <w:t>数据上传至中心</w:t>
      </w:r>
      <w:r>
        <w:rPr>
          <w:rFonts w:hint="eastAsia"/>
          <w:sz w:val="24"/>
        </w:rPr>
        <w:t>；基于后置式设计，需要</w:t>
      </w:r>
      <w:r>
        <w:rPr>
          <w:sz w:val="24"/>
        </w:rPr>
        <w:t>将</w:t>
      </w:r>
      <w:r>
        <w:rPr>
          <w:rFonts w:hint="eastAsia"/>
          <w:sz w:val="24"/>
        </w:rPr>
        <w:t>视频</w:t>
      </w:r>
      <w:r>
        <w:rPr>
          <w:sz w:val="24"/>
        </w:rPr>
        <w:t>接入中心进行分析</w:t>
      </w:r>
      <w:r>
        <w:rPr>
          <w:rFonts w:hint="eastAsia"/>
          <w:sz w:val="24"/>
        </w:rPr>
        <w:t>；而一体化自动抓拍系统能够独立完成违停检测、抓拍、车牌识别、数据上传到中心。考虑到传输网络带宽的压力及稳定性的要求，不建议采用基于后置式设计，而应将视频的分析处理放到前端完成。从建设成本、稳定性、及技术发展趋势等多方面考虑，本项目建议采用一体化自动抓拍系统，即抓拍摄像机内置智能分析算法。</w:t>
      </w:r>
    </w:p>
    <w:p>
      <w:pPr>
        <w:pStyle w:val="39"/>
        <w:tabs>
          <w:tab w:val="left" w:pos="840"/>
        </w:tabs>
        <w:spacing w:line="360" w:lineRule="auto"/>
        <w:ind w:firstLineChars="0"/>
        <w:rPr>
          <w:rFonts w:ascii="宋体" w:hAnsi="宋体"/>
          <w:sz w:val="24"/>
        </w:rPr>
      </w:pPr>
      <w:r>
        <w:rPr>
          <w:rFonts w:hint="eastAsia" w:ascii="宋体" w:hAnsi="宋体"/>
          <w:sz w:val="24"/>
        </w:rPr>
        <w:t>本次设计的违停抓拍设施内容仅包括外部硬件设施，不包含控制系统、后端管理等后台系统，所采用的设备能与交管部门后台相适应。</w:t>
      </w:r>
    </w:p>
    <w:p>
      <w:pPr>
        <w:pStyle w:val="3"/>
        <w:spacing w:before="120" w:after="120" w:line="360" w:lineRule="auto"/>
        <w:rPr>
          <w:rFonts w:ascii="宋体" w:hAnsi="宋体"/>
          <w:sz w:val="28"/>
          <w:szCs w:val="28"/>
        </w:rPr>
      </w:pPr>
      <w:r>
        <w:rPr>
          <w:rFonts w:ascii="宋体" w:hAnsi="宋体"/>
          <w:sz w:val="28"/>
          <w:szCs w:val="28"/>
        </w:rPr>
        <w:t>7</w:t>
      </w:r>
      <w:r>
        <w:rPr>
          <w:rFonts w:hint="eastAsia" w:ascii="宋体" w:hAnsi="宋体"/>
          <w:sz w:val="28"/>
          <w:szCs w:val="28"/>
        </w:rPr>
        <w:t>.1 系统原理</w:t>
      </w:r>
    </w:p>
    <w:p>
      <w:pPr>
        <w:spacing w:line="360" w:lineRule="auto"/>
        <w:ind w:firstLine="480" w:firstLineChars="200"/>
        <w:rPr>
          <w:rFonts w:ascii="宋体" w:hAnsi="宋体"/>
          <w:sz w:val="24"/>
          <w:szCs w:val="28"/>
        </w:rPr>
      </w:pPr>
      <w:r>
        <w:rPr>
          <w:rFonts w:hint="eastAsia" w:ascii="宋体" w:hAnsi="宋体"/>
          <w:sz w:val="24"/>
          <w:szCs w:val="28"/>
        </w:rPr>
        <w:t>利用内置智能分析算法的自动跟踪球机实现违法停车自动检测抓拍。在球机设置界面中设置球机检测预置位及相应的违停检测区域，并设置路段违停抓拍模式（不允许停车或允许临时停车）；内置的智能分析算法对违停检测区域内的机动车辆进行违停检测；检测违停车辆后提取定位信息；球机利用定位信息对违停车辆进行跟踪放大；当违停车辆的车牌放大到可以识别时，球机内置智能算法对车牌进行定位特写抓拍和自动识别；如识别不到违停车牌号码，同样进行抓拍，按无车牌处理；如识别到违停车牌号码，对于不允许停车工作模式，球机自动生成违章记录，包括一张合成图片（二张全景特征图片、一张车牌特写图片）和一段反映机动车违法停车过程的录像，图片上叠加有交通违章日期、时间、地点、方向、图像取证设备编号，防伪等信息。取证完毕后，球机回到检测预置位，继续检测其它违停车辆。</w:t>
      </w:r>
    </w:p>
    <w:p>
      <w:pPr>
        <w:spacing w:line="360" w:lineRule="auto"/>
        <w:ind w:firstLine="480" w:firstLineChars="200"/>
        <w:rPr>
          <w:rFonts w:ascii="宋体" w:hAnsi="宋体"/>
          <w:sz w:val="24"/>
          <w:szCs w:val="28"/>
        </w:rPr>
      </w:pPr>
      <w:r>
        <w:rPr>
          <w:rFonts w:hint="eastAsia" w:ascii="宋体" w:hAnsi="宋体"/>
          <w:sz w:val="24"/>
          <w:szCs w:val="28"/>
        </w:rPr>
        <w:t>对于允许临时停车工作模式，在识别到违停车辆车牌号码后，球机设置该方位坐标为球机的校验预置位，然后球机自动回到检测预置位，继续检测其它违停车辆；在一定时间间隔（可判定为违法停车的时间，时间间隔可设）后，球机回到校验预置位，再次识别到车牌信息，如识别到的车牌号码与之前识别到的车牌号码一样，则判定为违停，球机自动生成违章记录，包括一张合成图片（三张全景特征图片、一张车牌特写图片）和一段反映机动车违法停车过程的录像；如再次识别到车牌信息与之前的不一致，则丢弃该目标。取证完毕后，球机回到检测预置位，继续检测其它违停车辆。</w:t>
      </w:r>
    </w:p>
    <w:p>
      <w:pPr>
        <w:pStyle w:val="3"/>
        <w:spacing w:before="120" w:after="120" w:line="360" w:lineRule="auto"/>
        <w:rPr>
          <w:rFonts w:ascii="宋体" w:hAnsi="宋体" w:cs="Calibri"/>
          <w:sz w:val="28"/>
          <w:szCs w:val="28"/>
        </w:rPr>
      </w:pPr>
      <w:r>
        <w:rPr>
          <w:rFonts w:ascii="宋体" w:hAnsi="宋体" w:cs="Calibri"/>
          <w:sz w:val="28"/>
          <w:szCs w:val="28"/>
        </w:rPr>
        <w:t>7</w:t>
      </w:r>
      <w:r>
        <w:rPr>
          <w:rFonts w:hint="eastAsia" w:ascii="宋体" w:hAnsi="宋体" w:cs="Calibri"/>
          <w:sz w:val="28"/>
          <w:szCs w:val="28"/>
        </w:rPr>
        <w:t>.2 功能及技术要求</w:t>
      </w:r>
    </w:p>
    <w:p>
      <w:pPr>
        <w:pStyle w:val="10"/>
        <w:spacing w:line="360" w:lineRule="auto"/>
        <w:ind w:firstLine="480" w:firstLineChars="200"/>
        <w:jc w:val="left"/>
        <w:rPr>
          <w:rFonts w:hAnsi="宋体"/>
          <w:b/>
          <w:bCs/>
          <w:sz w:val="24"/>
          <w:szCs w:val="28"/>
        </w:rPr>
      </w:pPr>
      <w:r>
        <w:rPr>
          <w:rFonts w:hint="eastAsia" w:hAnsi="宋体"/>
          <w:b/>
          <w:bCs/>
          <w:sz w:val="24"/>
          <w:szCs w:val="28"/>
        </w:rPr>
        <w:t>1）违法停车自动取证功能</w:t>
      </w:r>
    </w:p>
    <w:p>
      <w:pPr>
        <w:spacing w:line="360" w:lineRule="auto"/>
        <w:ind w:firstLine="480" w:firstLineChars="200"/>
        <w:rPr>
          <w:rFonts w:ascii="宋体" w:hAnsi="宋体"/>
          <w:sz w:val="24"/>
          <w:szCs w:val="28"/>
        </w:rPr>
      </w:pPr>
      <w:r>
        <w:rPr>
          <w:rFonts w:hint="eastAsia" w:ascii="宋体" w:hAnsi="宋体"/>
          <w:sz w:val="24"/>
          <w:szCs w:val="28"/>
        </w:rPr>
        <w:t>系统能对道路两旁禁停区域违停车辆进行检测和取证。可以根据用户的实际需求调整最大停车时限，当车辆在禁止停车区域停车在限定时间以上的，进行违章抓拍取证。一组取证信息包括不同时间段的三张全景图片、一张能够看清车牌的特写图片、以及一段违章过程录像，图片中叠加时间、地点、车牌号码等信息。</w:t>
      </w:r>
    </w:p>
    <w:p>
      <w:pPr>
        <w:pStyle w:val="10"/>
        <w:spacing w:line="360" w:lineRule="auto"/>
        <w:ind w:firstLine="480" w:firstLineChars="200"/>
        <w:jc w:val="left"/>
        <w:rPr>
          <w:rFonts w:hAnsi="宋体"/>
          <w:b/>
          <w:bCs/>
          <w:sz w:val="24"/>
          <w:szCs w:val="28"/>
        </w:rPr>
      </w:pPr>
      <w:r>
        <w:rPr>
          <w:rFonts w:hint="eastAsia" w:hAnsi="宋体"/>
          <w:b/>
          <w:bCs/>
          <w:sz w:val="24"/>
          <w:szCs w:val="28"/>
        </w:rPr>
        <w:t>2）车牌自动识别功能</w:t>
      </w:r>
    </w:p>
    <w:p>
      <w:pPr>
        <w:spacing w:line="360" w:lineRule="auto"/>
        <w:ind w:firstLine="480" w:firstLineChars="200"/>
        <w:rPr>
          <w:rFonts w:ascii="宋体" w:hAnsi="宋体"/>
          <w:sz w:val="24"/>
          <w:szCs w:val="28"/>
        </w:rPr>
      </w:pPr>
      <w:r>
        <w:rPr>
          <w:rFonts w:hint="eastAsia" w:ascii="宋体" w:hAnsi="宋体"/>
          <w:sz w:val="24"/>
          <w:szCs w:val="28"/>
        </w:rPr>
        <w:t>系统能够自动对违停车辆进行跟踪放大，自动识别车牌号码（含新能源车牌），减少人工识别输入车牌的工作，提高效率。</w:t>
      </w:r>
    </w:p>
    <w:p>
      <w:pPr>
        <w:pStyle w:val="10"/>
        <w:spacing w:line="360" w:lineRule="auto"/>
        <w:ind w:firstLine="480" w:firstLineChars="200"/>
        <w:jc w:val="left"/>
        <w:rPr>
          <w:rFonts w:hAnsi="宋体"/>
          <w:b/>
          <w:bCs/>
          <w:sz w:val="24"/>
          <w:szCs w:val="28"/>
        </w:rPr>
      </w:pPr>
      <w:r>
        <w:rPr>
          <w:rFonts w:hint="eastAsia" w:hAnsi="宋体"/>
          <w:b/>
          <w:bCs/>
          <w:sz w:val="24"/>
          <w:szCs w:val="28"/>
        </w:rPr>
        <w:t>3）查询统计及交通违章处理功能</w:t>
      </w:r>
    </w:p>
    <w:p>
      <w:pPr>
        <w:spacing w:line="360" w:lineRule="auto"/>
        <w:ind w:firstLine="480" w:firstLineChars="200"/>
        <w:rPr>
          <w:rFonts w:ascii="宋体" w:hAnsi="宋体"/>
          <w:sz w:val="24"/>
          <w:szCs w:val="28"/>
        </w:rPr>
      </w:pPr>
      <w:r>
        <w:rPr>
          <w:rFonts w:hint="eastAsia" w:ascii="宋体" w:hAnsi="宋体"/>
          <w:sz w:val="24"/>
          <w:szCs w:val="28"/>
        </w:rPr>
        <w:t>系统可以对违章数据按时间、地点等方式进行查询统计；同时可以违章数据进行审核、修改、自动上传、人工标记等处理功能，实现交通违章事件的处理。</w:t>
      </w:r>
    </w:p>
    <w:p>
      <w:pPr>
        <w:pStyle w:val="10"/>
        <w:spacing w:line="360" w:lineRule="auto"/>
        <w:ind w:firstLine="480" w:firstLineChars="200"/>
        <w:jc w:val="left"/>
        <w:rPr>
          <w:rFonts w:hAnsi="宋体"/>
          <w:b/>
          <w:bCs/>
          <w:sz w:val="24"/>
          <w:szCs w:val="28"/>
        </w:rPr>
      </w:pPr>
      <w:r>
        <w:rPr>
          <w:rFonts w:hint="eastAsia" w:hAnsi="宋体"/>
          <w:b/>
          <w:bCs/>
          <w:sz w:val="24"/>
          <w:szCs w:val="28"/>
        </w:rPr>
        <w:t>4）自动校时功能</w:t>
      </w:r>
    </w:p>
    <w:p>
      <w:pPr>
        <w:spacing w:line="360" w:lineRule="auto"/>
        <w:ind w:firstLine="480" w:firstLineChars="200"/>
        <w:rPr>
          <w:rFonts w:ascii="宋体" w:hAnsi="宋体"/>
          <w:sz w:val="24"/>
          <w:szCs w:val="28"/>
        </w:rPr>
      </w:pPr>
      <w:r>
        <w:rPr>
          <w:rFonts w:hint="eastAsia" w:ascii="宋体" w:hAnsi="宋体"/>
          <w:sz w:val="24"/>
          <w:szCs w:val="28"/>
        </w:rPr>
        <w:t>系统设计24h内的计时误差不超过1.0s，所有前端设备点位每日至少与监控中心系统时钟同步一次。</w:t>
      </w:r>
    </w:p>
    <w:p>
      <w:pPr>
        <w:pStyle w:val="10"/>
        <w:spacing w:line="360" w:lineRule="auto"/>
        <w:ind w:firstLine="480" w:firstLineChars="200"/>
        <w:jc w:val="left"/>
        <w:rPr>
          <w:rFonts w:hAnsi="宋体"/>
          <w:b/>
          <w:bCs/>
          <w:sz w:val="24"/>
          <w:szCs w:val="28"/>
        </w:rPr>
      </w:pPr>
      <w:r>
        <w:rPr>
          <w:rFonts w:hint="eastAsia" w:hAnsi="宋体"/>
          <w:b/>
          <w:bCs/>
          <w:sz w:val="24"/>
          <w:szCs w:val="28"/>
        </w:rPr>
        <w:t>5）网络远程维护功能</w:t>
      </w:r>
    </w:p>
    <w:p>
      <w:pPr>
        <w:spacing w:line="360" w:lineRule="auto"/>
        <w:ind w:firstLine="480" w:firstLineChars="200"/>
        <w:rPr>
          <w:rFonts w:ascii="宋体" w:hAnsi="宋体"/>
          <w:sz w:val="24"/>
          <w:szCs w:val="28"/>
        </w:rPr>
      </w:pPr>
      <w:r>
        <w:rPr>
          <w:rFonts w:hint="eastAsia" w:ascii="宋体" w:hAnsi="宋体"/>
          <w:sz w:val="24"/>
          <w:szCs w:val="28"/>
        </w:rPr>
        <w:t>交管部门现有非现场执法管理系统可以实时查看前端设备的运行状态，支持通过网络实现远程维护、远程设置和远程升级等功能。</w:t>
      </w:r>
    </w:p>
    <w:p>
      <w:pPr>
        <w:pStyle w:val="10"/>
        <w:spacing w:line="360" w:lineRule="auto"/>
        <w:ind w:firstLine="480" w:firstLineChars="200"/>
        <w:jc w:val="left"/>
        <w:rPr>
          <w:rFonts w:hAnsi="宋体"/>
          <w:b/>
          <w:bCs/>
          <w:sz w:val="24"/>
          <w:szCs w:val="28"/>
        </w:rPr>
      </w:pPr>
      <w:r>
        <w:rPr>
          <w:rFonts w:hint="eastAsia" w:hAnsi="宋体"/>
          <w:b/>
          <w:bCs/>
          <w:sz w:val="24"/>
          <w:szCs w:val="28"/>
        </w:rPr>
        <w:t>6）数据断点续传功能</w:t>
      </w:r>
    </w:p>
    <w:p>
      <w:pPr>
        <w:spacing w:line="360" w:lineRule="auto"/>
        <w:ind w:firstLine="480" w:firstLineChars="200"/>
        <w:rPr>
          <w:rFonts w:ascii="宋体" w:hAnsi="宋体"/>
          <w:sz w:val="24"/>
          <w:szCs w:val="28"/>
        </w:rPr>
      </w:pPr>
      <w:r>
        <w:rPr>
          <w:rFonts w:hint="eastAsia" w:ascii="宋体" w:hAnsi="宋体"/>
          <w:sz w:val="24"/>
          <w:szCs w:val="28"/>
        </w:rPr>
        <w:t>系统应支持断点续传功能。当遇到网络中断或其他故障时，车辆信息存储在终端服务器中，待故障排除后自动续传到巴南区交通巡逻警察支队现有非现场执法管理系统内。</w:t>
      </w:r>
    </w:p>
    <w:p>
      <w:pPr>
        <w:pStyle w:val="10"/>
        <w:spacing w:line="360" w:lineRule="auto"/>
        <w:ind w:firstLine="480" w:firstLineChars="200"/>
        <w:jc w:val="left"/>
        <w:rPr>
          <w:rFonts w:hAnsi="宋体"/>
          <w:b/>
          <w:bCs/>
          <w:sz w:val="24"/>
          <w:szCs w:val="28"/>
        </w:rPr>
      </w:pPr>
      <w:r>
        <w:rPr>
          <w:rFonts w:hint="eastAsia" w:hAnsi="宋体"/>
          <w:b/>
          <w:bCs/>
          <w:sz w:val="24"/>
          <w:szCs w:val="28"/>
        </w:rPr>
        <w:t>7）多目标处理及多场景巡航取证功能</w:t>
      </w:r>
    </w:p>
    <w:p>
      <w:pPr>
        <w:spacing w:line="360" w:lineRule="auto"/>
        <w:ind w:firstLine="480" w:firstLineChars="200"/>
        <w:rPr>
          <w:rFonts w:ascii="宋体" w:hAnsi="宋体"/>
          <w:sz w:val="24"/>
          <w:szCs w:val="28"/>
        </w:rPr>
      </w:pPr>
      <w:r>
        <w:rPr>
          <w:rFonts w:hint="eastAsia" w:ascii="宋体" w:hAnsi="宋体"/>
          <w:sz w:val="24"/>
          <w:szCs w:val="28"/>
        </w:rPr>
        <w:t>系统应可对检测区域内多个违法车辆进行检测取证，支持同时处理不低于20个车辆目标，对于同一场景下多目标同时进入检测区域的情况，首先对检测到的第一个目标采集第一组全景和特写图片，在球机回归预置位后再对检测区域内其它未进入抓拍队列的违法车辆进行第一组全景和特写图片的采集，然后按照设定的取证时限依次对抓拍队列中的车辆进行第二组全景和特写图片的采集及违法记录生成。</w:t>
      </w:r>
    </w:p>
    <w:p>
      <w:pPr>
        <w:spacing w:line="360" w:lineRule="auto"/>
        <w:ind w:firstLine="480" w:firstLineChars="200"/>
        <w:rPr>
          <w:rFonts w:ascii="宋体" w:hAnsi="宋体"/>
          <w:sz w:val="24"/>
          <w:szCs w:val="28"/>
        </w:rPr>
      </w:pPr>
      <w:r>
        <w:rPr>
          <w:rFonts w:hint="eastAsia" w:ascii="宋体" w:hAnsi="宋体"/>
          <w:sz w:val="24"/>
          <w:szCs w:val="28"/>
        </w:rPr>
        <w:t>在多场景巡航取证时，系统除可以对新进入检测场景的违法车辆进行检测取证，也可以对场景内已停放的车辆进行检测取证。</w:t>
      </w:r>
    </w:p>
    <w:p>
      <w:pPr>
        <w:pStyle w:val="10"/>
        <w:spacing w:line="360" w:lineRule="auto"/>
        <w:ind w:firstLine="480" w:firstLineChars="200"/>
        <w:jc w:val="left"/>
        <w:rPr>
          <w:rFonts w:hAnsi="宋体"/>
          <w:b/>
          <w:bCs/>
          <w:sz w:val="24"/>
          <w:szCs w:val="28"/>
        </w:rPr>
      </w:pPr>
      <w:r>
        <w:rPr>
          <w:rFonts w:hint="eastAsia" w:hAnsi="宋体"/>
          <w:b/>
          <w:bCs/>
          <w:sz w:val="24"/>
          <w:szCs w:val="28"/>
        </w:rPr>
        <w:t>8）违法事件上传及预警短信功能</w:t>
      </w:r>
    </w:p>
    <w:p>
      <w:pPr>
        <w:spacing w:line="360" w:lineRule="auto"/>
        <w:ind w:firstLine="480" w:firstLineChars="200"/>
        <w:rPr>
          <w:rFonts w:ascii="宋体" w:hAnsi="宋体"/>
          <w:sz w:val="24"/>
          <w:szCs w:val="28"/>
        </w:rPr>
      </w:pPr>
      <w:r>
        <w:rPr>
          <w:rFonts w:hint="eastAsia" w:ascii="宋体" w:hAnsi="宋体"/>
          <w:sz w:val="24"/>
          <w:szCs w:val="28"/>
        </w:rPr>
        <w:t>系统可实时上传违章事件数据到交管部门现有非现场执法管理系统内，同时通过该系统与交管部门短信接口实现预警短信联动，实现违法行为主动告知提醒功能，并同步反馈预警短信截图。</w:t>
      </w:r>
    </w:p>
    <w:p>
      <w:pPr>
        <w:pStyle w:val="10"/>
        <w:spacing w:line="360" w:lineRule="auto"/>
        <w:ind w:firstLine="480" w:firstLineChars="200"/>
        <w:jc w:val="left"/>
        <w:rPr>
          <w:rFonts w:hAnsi="宋体"/>
          <w:b/>
          <w:bCs/>
          <w:sz w:val="24"/>
          <w:szCs w:val="28"/>
        </w:rPr>
      </w:pPr>
      <w:r>
        <w:rPr>
          <w:rFonts w:hint="eastAsia" w:hAnsi="宋体"/>
          <w:b/>
          <w:bCs/>
          <w:sz w:val="24"/>
          <w:szCs w:val="28"/>
        </w:rPr>
        <w:t>9）高清视频录像功能</w:t>
      </w:r>
    </w:p>
    <w:p>
      <w:pPr>
        <w:spacing w:line="360" w:lineRule="auto"/>
        <w:ind w:firstLine="480" w:firstLineChars="200"/>
        <w:rPr>
          <w:rFonts w:ascii="宋体" w:hAnsi="宋体"/>
          <w:sz w:val="24"/>
          <w:szCs w:val="28"/>
        </w:rPr>
      </w:pPr>
      <w:r>
        <w:rPr>
          <w:rFonts w:hint="eastAsia" w:ascii="宋体" w:hAnsi="宋体"/>
          <w:sz w:val="24"/>
          <w:szCs w:val="28"/>
        </w:rPr>
        <w:t>支持全景全时段高清录像功能，同时其产生的视频图像符合GB/T28181接入要求。</w:t>
      </w:r>
    </w:p>
    <w:p>
      <w:pPr>
        <w:pStyle w:val="10"/>
        <w:spacing w:line="360" w:lineRule="auto"/>
        <w:ind w:firstLine="480" w:firstLineChars="200"/>
        <w:jc w:val="left"/>
        <w:rPr>
          <w:rFonts w:hAnsi="宋体"/>
          <w:b/>
          <w:bCs/>
          <w:sz w:val="24"/>
          <w:szCs w:val="28"/>
        </w:rPr>
      </w:pPr>
      <w:r>
        <w:rPr>
          <w:rFonts w:hint="eastAsia" w:hAnsi="宋体"/>
          <w:b/>
          <w:bCs/>
          <w:sz w:val="24"/>
          <w:szCs w:val="28"/>
        </w:rPr>
        <w:t>10）模式切换功能</w:t>
      </w:r>
    </w:p>
    <w:p>
      <w:pPr>
        <w:spacing w:line="360" w:lineRule="auto"/>
        <w:ind w:firstLine="480" w:firstLineChars="200"/>
        <w:rPr>
          <w:rFonts w:ascii="宋体" w:hAnsi="宋体"/>
          <w:sz w:val="24"/>
          <w:szCs w:val="28"/>
        </w:rPr>
      </w:pPr>
      <w:r>
        <w:rPr>
          <w:rFonts w:hint="eastAsia" w:ascii="宋体" w:hAnsi="宋体"/>
          <w:sz w:val="24"/>
          <w:szCs w:val="28"/>
        </w:rPr>
        <w:t>系统支持模式切换功能，可实现在非执法时间段（如21：00-06：00）自动切换为普通监控摄像机，并切换对应需求的预置位。</w:t>
      </w:r>
    </w:p>
    <w:p>
      <w:pPr>
        <w:pStyle w:val="10"/>
        <w:spacing w:line="360" w:lineRule="auto"/>
        <w:ind w:firstLine="480" w:firstLineChars="200"/>
        <w:jc w:val="left"/>
        <w:rPr>
          <w:rFonts w:hAnsi="宋体"/>
          <w:b/>
          <w:bCs/>
          <w:sz w:val="24"/>
          <w:szCs w:val="28"/>
        </w:rPr>
      </w:pPr>
      <w:r>
        <w:rPr>
          <w:rFonts w:hint="eastAsia" w:hAnsi="宋体"/>
          <w:b/>
          <w:bCs/>
          <w:sz w:val="24"/>
          <w:szCs w:val="28"/>
        </w:rPr>
        <w:t>11）数据存储功能</w:t>
      </w:r>
    </w:p>
    <w:p>
      <w:pPr>
        <w:spacing w:line="360" w:lineRule="auto"/>
        <w:ind w:firstLine="480" w:firstLineChars="200"/>
        <w:rPr>
          <w:rFonts w:ascii="宋体" w:hAnsi="宋体"/>
          <w:sz w:val="24"/>
          <w:szCs w:val="28"/>
        </w:rPr>
      </w:pPr>
      <w:r>
        <w:rPr>
          <w:rFonts w:hint="eastAsia" w:ascii="宋体" w:hAnsi="宋体"/>
          <w:sz w:val="24"/>
          <w:szCs w:val="28"/>
        </w:rPr>
        <w:t>应配置终端服务器，终端服务器具备对违停球产生的违法数据及视频图像保存不低于30天的存储空间。</w:t>
      </w:r>
    </w:p>
    <w:p>
      <w:pPr>
        <w:pStyle w:val="10"/>
        <w:spacing w:line="360" w:lineRule="auto"/>
        <w:ind w:firstLine="480" w:firstLineChars="200"/>
        <w:jc w:val="left"/>
        <w:rPr>
          <w:rFonts w:hAnsi="宋体"/>
          <w:b/>
          <w:bCs/>
          <w:sz w:val="24"/>
          <w:szCs w:val="28"/>
        </w:rPr>
      </w:pPr>
      <w:r>
        <w:rPr>
          <w:rFonts w:hint="eastAsia" w:hAnsi="宋体"/>
          <w:b/>
          <w:bCs/>
          <w:sz w:val="24"/>
          <w:szCs w:val="28"/>
        </w:rPr>
        <w:t>12）数据上传功能</w:t>
      </w:r>
    </w:p>
    <w:p>
      <w:pPr>
        <w:spacing w:line="360" w:lineRule="auto"/>
        <w:ind w:firstLine="480" w:firstLineChars="200"/>
        <w:rPr>
          <w:rFonts w:ascii="宋体" w:hAnsi="宋体"/>
          <w:sz w:val="24"/>
          <w:szCs w:val="28"/>
        </w:rPr>
      </w:pPr>
      <w:r>
        <w:rPr>
          <w:rFonts w:hint="eastAsia" w:ascii="宋体" w:hAnsi="宋体"/>
          <w:sz w:val="24"/>
          <w:szCs w:val="28"/>
        </w:rPr>
        <w:t>系统应支持向双平台传输不同数据的能力，其视频图像数据可按照GB/T28181标准上传至交管部门视频共享平台，其违法数据可接入交管部门现有非现场执法管理系统用于违法数据管理、查询及其他业务应用。</w:t>
      </w:r>
    </w:p>
    <w:p>
      <w:pPr>
        <w:pStyle w:val="3"/>
        <w:spacing w:before="120" w:after="120" w:line="360" w:lineRule="auto"/>
        <w:rPr>
          <w:rFonts w:ascii="宋体" w:hAnsi="宋体"/>
          <w:sz w:val="28"/>
          <w:szCs w:val="28"/>
        </w:rPr>
      </w:pPr>
      <w:r>
        <w:rPr>
          <w:rFonts w:ascii="宋体" w:hAnsi="宋体"/>
          <w:sz w:val="28"/>
          <w:szCs w:val="28"/>
        </w:rPr>
        <w:t>7</w:t>
      </w:r>
      <w:r>
        <w:rPr>
          <w:rFonts w:hint="eastAsia" w:ascii="宋体" w:hAnsi="宋体"/>
          <w:sz w:val="28"/>
          <w:szCs w:val="28"/>
        </w:rPr>
        <w:t>.3 主要</w:t>
      </w:r>
      <w:r>
        <w:rPr>
          <w:rFonts w:ascii="宋体" w:hAnsi="宋体"/>
          <w:sz w:val="28"/>
          <w:szCs w:val="28"/>
        </w:rPr>
        <w:t>设备</w:t>
      </w:r>
      <w:r>
        <w:rPr>
          <w:rFonts w:hint="eastAsia" w:ascii="宋体" w:hAnsi="宋体"/>
          <w:sz w:val="28"/>
          <w:szCs w:val="28"/>
        </w:rPr>
        <w:t>技术</w:t>
      </w:r>
      <w:r>
        <w:rPr>
          <w:rFonts w:ascii="宋体" w:hAnsi="宋体"/>
          <w:sz w:val="28"/>
          <w:szCs w:val="28"/>
        </w:rPr>
        <w:t>指标</w:t>
      </w:r>
    </w:p>
    <w:p>
      <w:pPr>
        <w:pStyle w:val="35"/>
        <w:numPr>
          <w:ilvl w:val="0"/>
          <w:numId w:val="9"/>
        </w:numPr>
        <w:spacing w:line="360" w:lineRule="auto"/>
        <w:ind w:firstLineChars="0"/>
        <w:rPr>
          <w:b/>
          <w:bCs/>
          <w:sz w:val="24"/>
        </w:rPr>
      </w:pPr>
      <w:r>
        <w:rPr>
          <w:rFonts w:hint="eastAsia"/>
          <w:b/>
          <w:bCs/>
          <w:sz w:val="24"/>
        </w:rPr>
        <w:t>高清违停抓拍球机</w:t>
      </w:r>
    </w:p>
    <w:p>
      <w:pPr>
        <w:spacing w:line="360" w:lineRule="auto"/>
        <w:ind w:firstLine="480" w:firstLineChars="200"/>
        <w:rPr>
          <w:rFonts w:ascii="宋体" w:hAnsi="宋体"/>
          <w:sz w:val="24"/>
          <w:szCs w:val="28"/>
        </w:rPr>
      </w:pPr>
      <w:r>
        <w:rPr>
          <w:rFonts w:hint="eastAsia" w:ascii="宋体" w:hAnsi="宋体"/>
          <w:sz w:val="24"/>
          <w:szCs w:val="28"/>
        </w:rPr>
        <w:t>相关技术参数详见工程量清单。</w:t>
      </w:r>
    </w:p>
    <w:p>
      <w:pPr>
        <w:pStyle w:val="35"/>
        <w:numPr>
          <w:ilvl w:val="0"/>
          <w:numId w:val="9"/>
        </w:numPr>
        <w:spacing w:line="360" w:lineRule="auto"/>
        <w:ind w:firstLineChars="0"/>
        <w:rPr>
          <w:b/>
          <w:bCs/>
          <w:sz w:val="24"/>
        </w:rPr>
      </w:pPr>
      <w:r>
        <w:rPr>
          <w:rFonts w:hint="eastAsia"/>
          <w:b/>
          <w:bCs/>
          <w:sz w:val="24"/>
        </w:rPr>
        <w:t>交通终端管理设备</w:t>
      </w:r>
    </w:p>
    <w:p>
      <w:pPr>
        <w:spacing w:line="360" w:lineRule="auto"/>
        <w:ind w:firstLine="480" w:firstLineChars="200"/>
        <w:rPr>
          <w:rFonts w:ascii="宋体" w:hAnsi="宋体"/>
          <w:sz w:val="24"/>
          <w:szCs w:val="28"/>
        </w:rPr>
      </w:pPr>
      <w:r>
        <w:rPr>
          <w:rFonts w:hint="eastAsia" w:ascii="宋体" w:hAnsi="宋体"/>
          <w:sz w:val="24"/>
          <w:szCs w:val="28"/>
        </w:rPr>
        <w:t>相关技术参数详见工程量清单。</w:t>
      </w:r>
    </w:p>
    <w:p>
      <w:pPr>
        <w:pStyle w:val="3"/>
        <w:spacing w:before="120" w:after="120" w:line="360" w:lineRule="auto"/>
        <w:rPr>
          <w:rFonts w:ascii="宋体" w:hAnsi="宋体"/>
          <w:sz w:val="28"/>
          <w:szCs w:val="28"/>
        </w:rPr>
      </w:pPr>
      <w:r>
        <w:rPr>
          <w:rFonts w:ascii="宋体" w:hAnsi="宋体"/>
          <w:sz w:val="28"/>
          <w:szCs w:val="28"/>
        </w:rPr>
        <w:t>7</w:t>
      </w:r>
      <w:r>
        <w:rPr>
          <w:rFonts w:hint="eastAsia" w:ascii="宋体" w:hAnsi="宋体"/>
          <w:sz w:val="28"/>
          <w:szCs w:val="28"/>
        </w:rPr>
        <w:t>.4 施工方法及注意事项</w:t>
      </w:r>
    </w:p>
    <w:p>
      <w:pPr>
        <w:pStyle w:val="6"/>
      </w:pPr>
      <w:r>
        <w:rPr>
          <w:rFonts w:hint="eastAsia"/>
          <w:bCs/>
        </w:rPr>
        <w:t>摄像机立杆安装，杆高7.8米，悬臂3-6米，也可与信号灯悬臂杆或电子警察杆结合安装，</w:t>
      </w:r>
      <w:r>
        <w:rPr>
          <w:rFonts w:hint="eastAsia"/>
        </w:rPr>
        <w:t>具体安装点位可根据现场条件以及交通管理部门的要求进行适当调整，实施前需与交通管理部门确认。设备架设的指导原则为便于系统有效工作，最大化发挥出系统特征，监控有效面积最大化。为此，需尽量如下要求：</w:t>
      </w:r>
    </w:p>
    <w:p>
      <w:pPr>
        <w:numPr>
          <w:ilvl w:val="0"/>
          <w:numId w:val="3"/>
        </w:numPr>
        <w:spacing w:line="360" w:lineRule="auto"/>
        <w:rPr>
          <w:sz w:val="24"/>
        </w:rPr>
      </w:pPr>
      <w:r>
        <w:rPr>
          <w:rFonts w:hint="eastAsia"/>
          <w:sz w:val="24"/>
        </w:rPr>
        <w:t>为了防止设备阻碍正常的道路畅通，或设备被人工破坏，机箱离地面的高度应高于1.8米，悬挂前端视频采集设备的立杆高度在6－8米之间，立杆宜设置于距路缘石1m处。</w:t>
      </w:r>
    </w:p>
    <w:p>
      <w:pPr>
        <w:numPr>
          <w:ilvl w:val="0"/>
          <w:numId w:val="3"/>
        </w:numPr>
        <w:spacing w:line="360" w:lineRule="auto"/>
        <w:rPr>
          <w:sz w:val="24"/>
        </w:rPr>
      </w:pPr>
      <w:r>
        <w:rPr>
          <w:rFonts w:hint="eastAsia"/>
          <w:sz w:val="24"/>
        </w:rPr>
        <w:t>系统安装选址时，应尽可能把球机布局在拟检测区域的中心位置，让前端违停球有效视角内看见违章车辆的车头或者车尾部分居多。俯视车辆或者侧面监控违停车辆，因几何上的遮挡关系，较难获得有效的车牌。</w:t>
      </w:r>
    </w:p>
    <w:p>
      <w:pPr>
        <w:numPr>
          <w:ilvl w:val="0"/>
          <w:numId w:val="3"/>
        </w:numPr>
        <w:spacing w:line="360" w:lineRule="auto"/>
        <w:rPr>
          <w:sz w:val="24"/>
        </w:rPr>
      </w:pPr>
      <w:r>
        <w:rPr>
          <w:rFonts w:hint="eastAsia"/>
          <w:sz w:val="24"/>
        </w:rPr>
        <w:t>由于系统的物理约束，存在一定面积的监控盲区。该区域的大小与前端视频采集系统的安装高度有直接的联系。换算公式为L1=H*tan30；</w:t>
      </w:r>
    </w:p>
    <w:p>
      <w:pPr>
        <w:numPr>
          <w:ilvl w:val="0"/>
          <w:numId w:val="3"/>
        </w:numPr>
        <w:spacing w:line="360" w:lineRule="auto"/>
        <w:rPr>
          <w:sz w:val="24"/>
        </w:rPr>
      </w:pPr>
      <w:r>
        <w:rPr>
          <w:rFonts w:hint="eastAsia"/>
          <w:sz w:val="24"/>
        </w:rPr>
        <w:t>监控区域应尽可能开阔，避开高的建筑目标或树木，以免遮挡违停球视线，削弱系统的有效视野；违停球投影位置到最远抓拍位置的有效距离为300米。</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其他配套设施</w:t>
      </w:r>
    </w:p>
    <w:p>
      <w:pPr>
        <w:spacing w:line="360" w:lineRule="auto"/>
        <w:outlineLvl w:val="1"/>
        <w:rPr>
          <w:rFonts w:ascii="宋体" w:hAnsi="宋体"/>
          <w:b/>
          <w:bCs/>
          <w:sz w:val="24"/>
        </w:rPr>
      </w:pPr>
      <w:bookmarkStart w:id="57" w:name="_Toc8426"/>
      <w:r>
        <w:rPr>
          <w:rFonts w:ascii="宋体" w:hAnsi="宋体"/>
          <w:b/>
          <w:bCs/>
          <w:sz w:val="24"/>
        </w:rPr>
        <w:t>8</w:t>
      </w:r>
      <w:r>
        <w:rPr>
          <w:rFonts w:hint="eastAsia" w:ascii="宋体" w:hAnsi="宋体"/>
          <w:b/>
          <w:bCs/>
          <w:sz w:val="24"/>
        </w:rPr>
        <w:t>.1外场设备供电</w:t>
      </w:r>
      <w:bookmarkEnd w:id="57"/>
    </w:p>
    <w:p>
      <w:pPr>
        <w:spacing w:line="360" w:lineRule="auto"/>
        <w:ind w:firstLine="482"/>
        <w:rPr>
          <w:rFonts w:ascii="宋体" w:hAnsi="宋体"/>
          <w:sz w:val="24"/>
        </w:rPr>
      </w:pPr>
      <w:r>
        <w:rPr>
          <w:rFonts w:hint="eastAsia" w:ascii="宋体" w:hAnsi="宋体"/>
          <w:sz w:val="24"/>
        </w:rPr>
        <w:t>对于信号灯、电子警察等电子设施采用标准化取电，由供电部门提供统一供电至变电箱，再由变电箱接线至外场控制机箱，满足电子设备对供电电压、功耗及供电质量要求。外场设备至变电箱取电的供电管线工程量及电费据实结算。新建电子设施按照就近取电原则接入取电点，若取电点电压超过规定负荷，需增设市政箱变的，由建设部门与电力部门协调新增必要的变电箱具体位置、变电容量、规模等，新建箱变的建设工程量按实际结算。</w:t>
      </w:r>
    </w:p>
    <w:p>
      <w:pPr>
        <w:spacing w:line="360" w:lineRule="auto"/>
        <w:ind w:firstLine="482"/>
        <w:rPr>
          <w:rFonts w:ascii="宋体" w:hAnsi="宋体"/>
          <w:sz w:val="24"/>
        </w:rPr>
      </w:pPr>
      <w:r>
        <w:rPr>
          <w:rFonts w:hint="eastAsia"/>
          <w:sz w:val="24"/>
        </w:rPr>
        <w:t>鉴于本项目外场设备点位分散，应根据工程实际情况，</w:t>
      </w:r>
      <w:r>
        <w:rPr>
          <w:rFonts w:hint="eastAsia" w:ascii="宋体" w:hAnsi="宋体"/>
          <w:sz w:val="24"/>
        </w:rPr>
        <w:t>交通电子设置机箱就近通过市政变电箱取电。对于距离路口较近的交通电子设施，应就近集中通过路口信号控制机箱取电，非特殊情况不应分开报装。市政变电箱至路口控制机箱主电源线可采用RVV3×6.0，变电箱至控制箱取电距离超过300米时，主电源线采用RVV3×10.0。主电源线工程量据实结算。</w:t>
      </w:r>
    </w:p>
    <w:p>
      <w:pPr>
        <w:spacing w:line="360" w:lineRule="auto"/>
        <w:ind w:firstLine="480" w:firstLineChars="200"/>
        <w:rPr>
          <w:sz w:val="24"/>
        </w:rPr>
      </w:pPr>
      <w:r>
        <w:rPr>
          <w:rFonts w:hint="eastAsia"/>
          <w:sz w:val="24"/>
        </w:rPr>
        <w:t>本项目施工方应承担项目建设期及试运行期的供电条件及电费（以实施单位具体要求为准）。</w:t>
      </w:r>
    </w:p>
    <w:p>
      <w:pPr>
        <w:spacing w:line="360" w:lineRule="auto"/>
        <w:ind w:firstLine="480" w:firstLineChars="200"/>
        <w:rPr>
          <w:sz w:val="24"/>
        </w:rPr>
      </w:pPr>
      <w:r>
        <w:rPr>
          <w:rFonts w:hint="eastAsia"/>
          <w:sz w:val="24"/>
        </w:rPr>
        <w:t>在低压设备前端增加电度表，以便电费结算。供电主电缆截面根据供电点的距离不同进行选择，保证设备电压降不高于5%。由于外场设备供电距离大多比较远，采用TT系统方式供电，在每个设备终端安装漏电流护器进行保护，漏电流整定值为30mA。</w:t>
      </w:r>
    </w:p>
    <w:p>
      <w:pPr>
        <w:spacing w:line="360" w:lineRule="auto"/>
        <w:ind w:firstLine="482"/>
        <w:rPr>
          <w:rFonts w:ascii="宋体" w:hAnsi="宋体"/>
          <w:sz w:val="24"/>
        </w:rPr>
      </w:pPr>
      <w:r>
        <w:rPr>
          <w:rFonts w:hint="eastAsia"/>
          <w:sz w:val="24"/>
        </w:rPr>
        <w:t>供电主电缆中间不得以任何形式做接头。各类电线缆均应做线缆标识，线缆扎捆成束，捆扎间距小于60cm。</w:t>
      </w:r>
    </w:p>
    <w:p>
      <w:pPr>
        <w:spacing w:line="360" w:lineRule="auto"/>
        <w:outlineLvl w:val="1"/>
        <w:rPr>
          <w:rFonts w:ascii="宋体" w:hAnsi="宋体"/>
          <w:b/>
          <w:bCs/>
          <w:sz w:val="24"/>
        </w:rPr>
      </w:pPr>
      <w:bookmarkStart w:id="58" w:name="_Toc24822"/>
      <w:r>
        <w:rPr>
          <w:rFonts w:ascii="宋体" w:hAnsi="宋体"/>
          <w:b/>
          <w:bCs/>
          <w:sz w:val="24"/>
        </w:rPr>
        <w:t>8</w:t>
      </w:r>
      <w:r>
        <w:rPr>
          <w:rFonts w:hint="eastAsia" w:ascii="宋体" w:hAnsi="宋体"/>
          <w:b/>
          <w:bCs/>
          <w:sz w:val="24"/>
        </w:rPr>
        <w:t>.2防雷接地</w:t>
      </w:r>
      <w:bookmarkEnd w:id="58"/>
    </w:p>
    <w:p>
      <w:pPr>
        <w:spacing w:line="360" w:lineRule="auto"/>
        <w:ind w:firstLine="482"/>
        <w:rPr>
          <w:rFonts w:ascii="宋体" w:hAnsi="宋体"/>
          <w:sz w:val="24"/>
        </w:rPr>
      </w:pPr>
      <w:r>
        <w:rPr>
          <w:rFonts w:hint="eastAsia" w:ascii="宋体" w:hAnsi="宋体"/>
          <w:sz w:val="24"/>
        </w:rPr>
        <w:t>电子设备应采用必要的防雷电和过电压保护措施，采用的接口、元器件和防护措施应符合有关标准要求。外场电子等设备及杆件接地可采用独立接地方式。当采用独立接地方式时，其防雷接地电阻不大于10Ω，工作接地电阻不大于4Ω。当采用联合接地方式时，其联合接地电阻不大于1Ω。</w:t>
      </w:r>
    </w:p>
    <w:p>
      <w:pPr>
        <w:spacing w:line="360" w:lineRule="auto"/>
        <w:outlineLvl w:val="1"/>
        <w:rPr>
          <w:rFonts w:ascii="宋体" w:hAnsi="宋体"/>
          <w:b/>
          <w:bCs/>
          <w:sz w:val="24"/>
        </w:rPr>
      </w:pPr>
      <w:bookmarkStart w:id="59" w:name="_Toc6159"/>
      <w:r>
        <w:rPr>
          <w:rFonts w:ascii="宋体" w:hAnsi="宋体"/>
          <w:b/>
          <w:bCs/>
          <w:sz w:val="24"/>
        </w:rPr>
        <w:t>8</w:t>
      </w:r>
      <w:r>
        <w:rPr>
          <w:rFonts w:hint="eastAsia" w:ascii="宋体" w:hAnsi="宋体"/>
          <w:b/>
          <w:bCs/>
          <w:sz w:val="24"/>
        </w:rPr>
        <w:t>.3地下管道</w:t>
      </w:r>
      <w:bookmarkEnd w:id="59"/>
      <w:r>
        <w:rPr>
          <w:rFonts w:hint="eastAsia" w:ascii="宋体" w:hAnsi="宋体"/>
          <w:b/>
          <w:bCs/>
          <w:sz w:val="24"/>
        </w:rPr>
        <w:t>开挖与恢复</w:t>
      </w:r>
    </w:p>
    <w:p>
      <w:pPr>
        <w:spacing w:line="360" w:lineRule="auto"/>
        <w:ind w:firstLine="482"/>
        <w:rPr>
          <w:rFonts w:ascii="宋体" w:hAnsi="宋体"/>
          <w:sz w:val="24"/>
        </w:rPr>
      </w:pPr>
      <w:r>
        <w:rPr>
          <w:rFonts w:hint="eastAsia" w:ascii="宋体" w:hAnsi="宋体"/>
          <w:sz w:val="24"/>
        </w:rPr>
        <w:t>人行道穿线管采用φ100HDPE管，埋深不小于0.5m；横穿过车行道穿线管外部采用φ114镀锌钢管，埋深不小于0.7m。人行道穿线管沿人行道每3m包封一处，每处包封长0.3m；车行道穿线管沿车行道通长包封。穿线管线包封混凝土标号和包封尺寸要求详见“车行道及人行道开挖回填大样图”。当车行穿线管埋深因特殊原因无法满足设计深度要求，则需要对包封混凝土增加钢筋加固，主筋3根间距200mm，采用φ10HPB300钢筋，箍筋间距200mm，采用φ10HPB300钢筋，钢筋混凝土保护层厚度40mm。</w:t>
      </w:r>
    </w:p>
    <w:p>
      <w:pPr>
        <w:spacing w:line="360" w:lineRule="auto"/>
        <w:ind w:firstLine="482"/>
        <w:rPr>
          <w:rFonts w:ascii="宋体" w:hAnsi="宋体"/>
          <w:sz w:val="24"/>
        </w:rPr>
      </w:pPr>
      <w:r>
        <w:rPr>
          <w:rFonts w:hint="eastAsia" w:ascii="宋体" w:hAnsi="宋体"/>
          <w:sz w:val="24"/>
        </w:rPr>
        <w:t>本次设计的管线方案应与已实施的道路地下管线及现状交通管线协调，可利用现有管线的，应在征得管线管理部门同意后再实施。</w:t>
      </w:r>
    </w:p>
    <w:p>
      <w:pPr>
        <w:spacing w:line="360" w:lineRule="auto"/>
        <w:ind w:firstLine="482"/>
        <w:rPr>
          <w:rFonts w:ascii="宋体" w:hAnsi="宋体"/>
          <w:sz w:val="24"/>
        </w:rPr>
      </w:pPr>
      <w:r>
        <w:rPr>
          <w:rFonts w:hint="eastAsia" w:ascii="宋体" w:hAnsi="宋体"/>
          <w:sz w:val="24"/>
        </w:rPr>
        <w:t>地下管线埋设完成后，应按照原状结构情况恢复车行道、人行道及绿化等设施。</w:t>
      </w:r>
    </w:p>
    <w:p>
      <w:pPr>
        <w:spacing w:line="360" w:lineRule="auto"/>
        <w:outlineLvl w:val="1"/>
        <w:rPr>
          <w:rFonts w:ascii="宋体" w:hAnsi="宋体"/>
          <w:b/>
          <w:bCs/>
          <w:sz w:val="24"/>
        </w:rPr>
      </w:pPr>
      <w:r>
        <w:rPr>
          <w:rFonts w:ascii="宋体" w:hAnsi="宋体"/>
          <w:b/>
          <w:bCs/>
          <w:sz w:val="24"/>
        </w:rPr>
        <w:t>8</w:t>
      </w:r>
      <w:r>
        <w:rPr>
          <w:rFonts w:hint="eastAsia" w:ascii="宋体" w:hAnsi="宋体"/>
          <w:b/>
          <w:bCs/>
          <w:sz w:val="24"/>
        </w:rPr>
        <w:t>.4网络通信</w:t>
      </w:r>
    </w:p>
    <w:p>
      <w:pPr>
        <w:spacing w:line="360" w:lineRule="auto"/>
        <w:ind w:firstLine="482"/>
        <w:rPr>
          <w:rFonts w:ascii="宋体" w:hAnsi="宋体"/>
          <w:sz w:val="24"/>
        </w:rPr>
      </w:pPr>
      <w:r>
        <w:rPr>
          <w:rFonts w:hint="eastAsia" w:ascii="宋体" w:hAnsi="宋体"/>
          <w:sz w:val="24"/>
        </w:rPr>
        <w:t>通信网络主要是为信号灯、电子警察等基础应用系统提供信息传输通道。通信系统需要从功能上支持数据的可靠传输，并且支持数据的分布存储、检索、处理，提供网络管理功能。本次考虑传输质量要求，建议采用光纤传输方式，外场控制机箱通过新建或者利用既有通讯管线就近连接至网络运营商光交点，再由网络运营商光交点和运营商通讯网络传输至交管部门管理后台。外场控制机箱至网络运营商光交点之间的通讯管线建设或租赁工程量据实结算，网络运营商光纤通讯租赁费用按2年考虑，运营商的光纤网络带宽及传输速率应能满足交管部门要求。</w:t>
      </w: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其他要求</w:t>
      </w:r>
    </w:p>
    <w:p>
      <w:pPr>
        <w:pStyle w:val="39"/>
        <w:numPr>
          <w:ilvl w:val="0"/>
          <w:numId w:val="3"/>
        </w:numPr>
        <w:spacing w:line="360" w:lineRule="auto"/>
        <w:ind w:left="0" w:firstLine="480"/>
        <w:rPr>
          <w:rFonts w:ascii="宋体" w:hAnsi="宋体"/>
          <w:sz w:val="24"/>
        </w:rPr>
      </w:pPr>
      <w:r>
        <w:rPr>
          <w:rFonts w:hint="eastAsia" w:ascii="宋体" w:hAnsi="宋体"/>
          <w:sz w:val="24"/>
        </w:rPr>
        <w:t>设置在道路上的交通标志需经持有CMA标志的国家计量单位认证单位检测。</w:t>
      </w:r>
    </w:p>
    <w:p>
      <w:pPr>
        <w:pStyle w:val="39"/>
        <w:numPr>
          <w:ilvl w:val="0"/>
          <w:numId w:val="3"/>
        </w:numPr>
        <w:spacing w:line="360" w:lineRule="auto"/>
        <w:ind w:left="0" w:firstLine="480"/>
        <w:rPr>
          <w:rFonts w:ascii="宋体" w:hAnsi="宋体"/>
          <w:sz w:val="24"/>
        </w:rPr>
      </w:pPr>
      <w:r>
        <w:rPr>
          <w:rFonts w:hint="eastAsia"/>
          <w:sz w:val="24"/>
        </w:rPr>
        <w:t>所有交通电子设施核心设备均需符合相关国标、部标要求，并具备相应检测报告，功能技术要求不低于交通管理部门现有相关设备的现行标准要求。</w:t>
      </w:r>
    </w:p>
    <w:p>
      <w:pPr>
        <w:pStyle w:val="39"/>
        <w:numPr>
          <w:ilvl w:val="0"/>
          <w:numId w:val="3"/>
        </w:numPr>
        <w:spacing w:line="360" w:lineRule="auto"/>
        <w:ind w:left="0" w:firstLine="480"/>
        <w:rPr>
          <w:rFonts w:ascii="宋体" w:hAnsi="宋体"/>
          <w:sz w:val="24"/>
        </w:rPr>
      </w:pPr>
      <w:r>
        <w:rPr>
          <w:rFonts w:hint="eastAsia" w:ascii="宋体" w:hAnsi="宋体"/>
          <w:sz w:val="24"/>
        </w:rPr>
        <w:t>指路标志牌文字大小、排版、路名及指路信息等要通过交管部门及业主再次审查后才方可实施，指路牌具体路名应以重庆市地名办命名的正式文件为准。</w:t>
      </w:r>
      <w:r>
        <w:rPr>
          <w:rFonts w:ascii="宋体" w:hAnsi="宋体"/>
          <w:sz w:val="24"/>
        </w:rPr>
        <w:t>标志牌上道路路名以实际为准，若为规划或尚未开通道路，则在指路牌上则不表示。</w:t>
      </w:r>
    </w:p>
    <w:p>
      <w:pPr>
        <w:pStyle w:val="39"/>
        <w:numPr>
          <w:ilvl w:val="0"/>
          <w:numId w:val="3"/>
        </w:numPr>
        <w:spacing w:line="360" w:lineRule="auto"/>
        <w:ind w:left="0" w:firstLine="480"/>
        <w:rPr>
          <w:rFonts w:ascii="宋体" w:hAnsi="宋体"/>
          <w:sz w:val="24"/>
        </w:rPr>
      </w:pPr>
      <w:r>
        <w:rPr>
          <w:rFonts w:hint="eastAsia" w:ascii="宋体" w:hAnsi="宋体"/>
          <w:sz w:val="24"/>
        </w:rPr>
        <w:t>各标志杆位置根据施工具体情况可作适当调整,建议调整范围控制在前后5m、横向0.5m之内，若需要作超出该阈值范围之外的调整，须经得交管、业主和设计三个部门的同意。标志位置调整后不得侵入道路界限以内。</w:t>
      </w:r>
    </w:p>
    <w:p>
      <w:pPr>
        <w:pStyle w:val="39"/>
        <w:numPr>
          <w:ilvl w:val="0"/>
          <w:numId w:val="3"/>
        </w:numPr>
        <w:spacing w:line="360" w:lineRule="auto"/>
        <w:ind w:left="0" w:firstLine="480"/>
        <w:rPr>
          <w:rFonts w:ascii="宋体" w:hAnsi="宋体"/>
          <w:sz w:val="24"/>
        </w:rPr>
      </w:pPr>
      <w:r>
        <w:rPr>
          <w:rFonts w:hint="eastAsia" w:ascii="宋体" w:hAnsi="宋体"/>
          <w:sz w:val="24"/>
        </w:rPr>
        <w:t>通常情况下，交通标志在一般维护下其正常使用年限为10年，交通标线的正常使用年限为13个月。</w:t>
      </w:r>
    </w:p>
    <w:p>
      <w:pPr>
        <w:numPr>
          <w:ilvl w:val="0"/>
          <w:numId w:val="3"/>
        </w:numPr>
        <w:spacing w:line="360" w:lineRule="auto"/>
        <w:ind w:left="0" w:firstLine="480" w:firstLineChars="200"/>
        <w:rPr>
          <w:sz w:val="24"/>
        </w:rPr>
      </w:pPr>
      <w:r>
        <w:rPr>
          <w:sz w:val="24"/>
        </w:rPr>
        <w:t>交通标志混凝土基础顶面应低于人行道路面15cm，交通设施施工完毕后恢复人行道砖</w:t>
      </w:r>
      <w:r>
        <w:rPr>
          <w:rFonts w:hint="eastAsia"/>
          <w:sz w:val="24"/>
        </w:rPr>
        <w:t>、盲道砖</w:t>
      </w:r>
      <w:r>
        <w:rPr>
          <w:sz w:val="24"/>
        </w:rPr>
        <w:t>或</w:t>
      </w:r>
      <w:r>
        <w:rPr>
          <w:rFonts w:hint="eastAsia"/>
          <w:sz w:val="24"/>
        </w:rPr>
        <w:t>绿化等设施。</w:t>
      </w:r>
    </w:p>
    <w:p>
      <w:pPr>
        <w:numPr>
          <w:ilvl w:val="0"/>
          <w:numId w:val="3"/>
        </w:numPr>
        <w:spacing w:line="360" w:lineRule="auto"/>
        <w:ind w:left="0" w:firstLine="480" w:firstLineChars="200"/>
        <w:rPr>
          <w:sz w:val="24"/>
        </w:rPr>
      </w:pPr>
      <w:r>
        <w:rPr>
          <w:rFonts w:hint="eastAsia" w:ascii="宋体" w:hAnsi="宋体"/>
          <w:sz w:val="24"/>
        </w:rPr>
        <w:t>施工中出现刚性基础过大或基础设置处于土质不良时，须提前通知设计单位，可采用选择桩基础。</w:t>
      </w:r>
      <w:r>
        <w:rPr>
          <w:rFonts w:hint="eastAsia"/>
          <w:sz w:val="24"/>
        </w:rPr>
        <w:t>本工程所有设施杆件在基础施工前需征询交管部门意见，并在其指导下进行。</w:t>
      </w:r>
    </w:p>
    <w:p>
      <w:pPr>
        <w:pStyle w:val="39"/>
        <w:numPr>
          <w:ilvl w:val="0"/>
          <w:numId w:val="3"/>
        </w:numPr>
        <w:spacing w:line="360" w:lineRule="auto"/>
        <w:ind w:left="0" w:firstLine="480"/>
        <w:rPr>
          <w:rFonts w:ascii="宋体" w:hAnsi="宋体"/>
          <w:sz w:val="24"/>
        </w:rPr>
      </w:pPr>
      <w:r>
        <w:rPr>
          <w:rFonts w:hint="eastAsia" w:ascii="宋体" w:hAnsi="宋体"/>
          <w:sz w:val="24"/>
        </w:rPr>
        <w:t>各交叉口标志牌可根据施工具体情况，在实施情况允许且</w:t>
      </w:r>
      <w:r>
        <w:rPr>
          <w:rFonts w:ascii="宋体" w:hAnsi="宋体"/>
          <w:sz w:val="24"/>
        </w:rPr>
        <w:t>经得交管、业主</w:t>
      </w:r>
      <w:r>
        <w:rPr>
          <w:rFonts w:hint="eastAsia" w:ascii="宋体" w:hAnsi="宋体"/>
          <w:sz w:val="24"/>
        </w:rPr>
        <w:t>、产权等</w:t>
      </w:r>
      <w:r>
        <w:rPr>
          <w:rFonts w:ascii="宋体" w:hAnsi="宋体"/>
          <w:sz w:val="24"/>
        </w:rPr>
        <w:t>部</w:t>
      </w:r>
      <w:r>
        <w:rPr>
          <w:rFonts w:hint="eastAsia" w:ascii="宋体" w:hAnsi="宋体"/>
          <w:sz w:val="24"/>
        </w:rPr>
        <w:t>门</w:t>
      </w:r>
      <w:r>
        <w:rPr>
          <w:rFonts w:ascii="宋体" w:hAnsi="宋体"/>
          <w:sz w:val="24"/>
        </w:rPr>
        <w:t>的同意</w:t>
      </w:r>
      <w:r>
        <w:rPr>
          <w:rFonts w:hint="eastAsia" w:ascii="宋体" w:hAnsi="宋体"/>
          <w:sz w:val="24"/>
        </w:rPr>
        <w:t>的条件下，可以和信号灯及路灯杆件相结合，抱箍及抱箍底衬根据各相应杆件的粗细作调整。</w:t>
      </w:r>
    </w:p>
    <w:p>
      <w:pPr>
        <w:pStyle w:val="39"/>
        <w:numPr>
          <w:ilvl w:val="0"/>
          <w:numId w:val="3"/>
        </w:numPr>
        <w:spacing w:line="360" w:lineRule="auto"/>
        <w:ind w:left="0" w:firstLine="480"/>
        <w:rPr>
          <w:rFonts w:ascii="宋体" w:hAnsi="宋体"/>
          <w:sz w:val="24"/>
        </w:rPr>
      </w:pPr>
      <w:r>
        <w:rPr>
          <w:rFonts w:hint="eastAsia" w:ascii="宋体" w:hAnsi="宋体"/>
          <w:sz w:val="24"/>
        </w:rPr>
        <w:t>本次设计的交通电子设施数据必须能接入相关交管部门平台且与交管部门现有后台系统相兼容，交通电子设施核心设备应具有公安部交通安全产品质量监督检测中心出具的检测报告。相应控制机需就近接入应指工程或网络运营商光交点，具体接入点根据现场实际情况确定，并征得相关部门同意方可施工。</w:t>
      </w:r>
    </w:p>
    <w:p>
      <w:pPr>
        <w:pStyle w:val="39"/>
        <w:numPr>
          <w:ilvl w:val="0"/>
          <w:numId w:val="3"/>
        </w:numPr>
        <w:spacing w:line="360" w:lineRule="auto"/>
        <w:ind w:left="0" w:firstLine="480"/>
        <w:rPr>
          <w:rFonts w:ascii="宋体" w:hAnsi="宋体"/>
          <w:sz w:val="24"/>
        </w:rPr>
      </w:pPr>
      <w:r>
        <w:rPr>
          <w:rFonts w:hint="eastAsia" w:ascii="宋体" w:hAnsi="宋体"/>
          <w:sz w:val="24"/>
        </w:rPr>
        <w:t>在交通设施基础埋设、过街管线施工及道路改造前，工程建设施工方必须摸清下方管网情况，制定妥善的管网保护或迁改措施，并取得业主、辖区交管部门、设计方以及受影响管网单位同意后方可施工。</w:t>
      </w:r>
    </w:p>
    <w:p>
      <w:pPr>
        <w:pStyle w:val="39"/>
        <w:numPr>
          <w:ilvl w:val="0"/>
          <w:numId w:val="3"/>
        </w:numPr>
        <w:spacing w:line="360" w:lineRule="auto"/>
        <w:ind w:left="0" w:firstLine="480"/>
        <w:rPr>
          <w:rFonts w:ascii="宋体" w:hAnsi="宋体"/>
          <w:sz w:val="24"/>
        </w:rPr>
      </w:pPr>
      <w:r>
        <w:rPr>
          <w:rFonts w:hint="eastAsia" w:ascii="宋体" w:hAnsi="宋体"/>
          <w:sz w:val="24"/>
        </w:rPr>
        <w:t>方案涉及占绿迁改绿植、迁改地下管线、占用车行道或人行道等时（若有），需事先取得相关管理部门的审批认可后，并在管理方的指导下方可施工。</w:t>
      </w:r>
    </w:p>
    <w:p>
      <w:pPr>
        <w:pStyle w:val="39"/>
        <w:numPr>
          <w:ilvl w:val="0"/>
          <w:numId w:val="3"/>
        </w:numPr>
        <w:spacing w:line="360" w:lineRule="auto"/>
        <w:ind w:left="0" w:firstLine="480"/>
        <w:rPr>
          <w:rFonts w:ascii="宋体" w:hAnsi="宋体"/>
          <w:sz w:val="24"/>
        </w:rPr>
      </w:pPr>
      <w:r>
        <w:rPr>
          <w:rFonts w:hint="eastAsia" w:ascii="宋体" w:hAnsi="宋体"/>
          <w:sz w:val="24"/>
        </w:rPr>
        <w:t>本项目中相关交通电子设施均按就近取电原则取电，控制机箱位置可结合行人通行、环境景观以及下方管线设施等因素的影响做适当调整，但必须征得业主、设计方和辖区交管部门的同意。</w:t>
      </w:r>
    </w:p>
    <w:p>
      <w:pPr>
        <w:pStyle w:val="39"/>
        <w:numPr>
          <w:ilvl w:val="0"/>
          <w:numId w:val="3"/>
        </w:numPr>
        <w:spacing w:line="360" w:lineRule="auto"/>
        <w:ind w:left="0" w:firstLine="480"/>
        <w:rPr>
          <w:rFonts w:ascii="宋体" w:hAnsi="宋体"/>
          <w:sz w:val="24"/>
        </w:rPr>
      </w:pPr>
      <w:r>
        <w:rPr>
          <w:rFonts w:hint="eastAsia" w:ascii="宋体" w:hAnsi="宋体"/>
          <w:sz w:val="24"/>
        </w:rPr>
        <w:t>交通设施基础开挖恢复、地下管线开挖恢复等建设工作施工期间，应按照相关管理部门要求申请施工许可，并按照管理部门的规定落实安全文明施工措施，包括施工围挡等安全保障设施。施工期间相关保障设施具体规格、标准要求按照对应部门要求进行配套设置，该部分费用计入安全文明施工费中考虑。</w:t>
      </w:r>
    </w:p>
    <w:p>
      <w:pPr>
        <w:pStyle w:val="39"/>
        <w:numPr>
          <w:ilvl w:val="0"/>
          <w:numId w:val="3"/>
        </w:numPr>
        <w:spacing w:line="360" w:lineRule="auto"/>
        <w:ind w:left="0" w:firstLine="480"/>
        <w:rPr>
          <w:rFonts w:ascii="宋体" w:hAnsi="宋体"/>
          <w:sz w:val="24"/>
        </w:rPr>
      </w:pPr>
      <w:r>
        <w:rPr>
          <w:rFonts w:hint="eastAsia" w:ascii="宋体" w:hAnsi="宋体"/>
          <w:sz w:val="24"/>
        </w:rPr>
        <w:t>工程建设完成至工程移交管理部门期间，可考虑违法拖车、设施维护工程车等运营维护费用（若有），暂按2年运营维护费用计费。</w:t>
      </w:r>
    </w:p>
    <w:p>
      <w:pPr>
        <w:pStyle w:val="35"/>
        <w:numPr>
          <w:ilvl w:val="0"/>
          <w:numId w:val="3"/>
        </w:numPr>
        <w:spacing w:line="360" w:lineRule="auto"/>
        <w:ind w:left="0" w:firstLine="480"/>
        <w:rPr>
          <w:rFonts w:ascii="宋体" w:hAnsi="宋体"/>
          <w:sz w:val="24"/>
        </w:rPr>
      </w:pPr>
      <w:r>
        <w:rPr>
          <w:rFonts w:hint="eastAsia" w:ascii="宋体" w:hAnsi="宋体"/>
          <w:sz w:val="24"/>
        </w:rPr>
        <w:t>电源线与信号线应分开不同管道敷设。</w:t>
      </w:r>
    </w:p>
    <w:p>
      <w:pPr>
        <w:numPr>
          <w:ilvl w:val="0"/>
          <w:numId w:val="3"/>
        </w:numPr>
        <w:spacing w:line="360" w:lineRule="auto"/>
        <w:ind w:left="0" w:firstLine="480" w:firstLineChars="200"/>
        <w:rPr>
          <w:sz w:val="24"/>
        </w:rPr>
      </w:pPr>
      <w:r>
        <w:rPr>
          <w:rFonts w:hint="eastAsia"/>
          <w:sz w:val="24"/>
        </w:rPr>
        <w:t>本项目所有支撑结构设计风速采用25.9m/s，地基承载力特征值为fa≥150kPa,如遇不良地质土层应进行地基处理。</w:t>
      </w:r>
    </w:p>
    <w:p>
      <w:pPr>
        <w:pStyle w:val="39"/>
        <w:numPr>
          <w:ilvl w:val="0"/>
          <w:numId w:val="3"/>
        </w:numPr>
        <w:spacing w:line="360" w:lineRule="auto"/>
        <w:ind w:left="0" w:firstLine="480"/>
        <w:rPr>
          <w:rFonts w:ascii="宋体" w:hAnsi="宋体"/>
          <w:sz w:val="24"/>
        </w:rPr>
      </w:pPr>
      <w:r>
        <w:rPr>
          <w:rFonts w:hint="eastAsia" w:ascii="宋体" w:hAnsi="宋体"/>
          <w:sz w:val="24"/>
        </w:rPr>
        <w:t>本工程在正式施工时，需征询交管部门的许可，并在交管部门的指导下进行。</w:t>
      </w:r>
    </w:p>
    <w:p>
      <w:pPr>
        <w:pStyle w:val="39"/>
        <w:numPr>
          <w:ilvl w:val="0"/>
          <w:numId w:val="3"/>
        </w:numPr>
        <w:spacing w:line="360" w:lineRule="auto"/>
        <w:ind w:left="0" w:firstLine="480"/>
        <w:rPr>
          <w:rFonts w:ascii="宋体" w:hAnsi="宋体"/>
          <w:sz w:val="24"/>
        </w:rPr>
      </w:pPr>
      <w:r>
        <w:rPr>
          <w:rFonts w:hint="eastAsia" w:ascii="宋体" w:hAnsi="宋体"/>
          <w:sz w:val="24"/>
        </w:rPr>
        <w:t>未尽事宜均按国家及重庆市有关标准及规范执行。</w:t>
      </w:r>
    </w:p>
    <w:p>
      <w:pPr>
        <w:spacing w:line="360" w:lineRule="auto"/>
        <w:ind w:left="840" w:firstLine="482"/>
        <w:rPr>
          <w:sz w:val="24"/>
        </w:rPr>
        <w:sectPr>
          <w:headerReference r:id="rId8" w:type="first"/>
          <w:headerReference r:id="rId6" w:type="default"/>
          <w:headerReference r:id="rId7" w:type="even"/>
          <w:type w:val="continuous"/>
          <w:pgSz w:w="23814" w:h="16839" w:orient="landscape"/>
          <w:pgMar w:top="1797" w:right="839" w:bottom="1797" w:left="2041" w:header="612" w:footer="850" w:gutter="0"/>
          <w:cols w:space="425" w:num="2"/>
          <w:docGrid w:type="linesAndChars" w:linePitch="312" w:charSpace="0"/>
        </w:sectPr>
      </w:pPr>
    </w:p>
    <w:p>
      <w:pPr>
        <w:spacing w:line="360" w:lineRule="auto"/>
        <w:ind w:firstLine="482"/>
        <w:rPr>
          <w:sz w:val="24"/>
        </w:rPr>
        <w:sectPr>
          <w:pgSz w:w="23814" w:h="16839" w:orient="landscape"/>
          <w:pgMar w:top="1797" w:right="839" w:bottom="1797" w:left="2041" w:header="612" w:footer="850" w:gutter="0"/>
          <w:cols w:space="425" w:num="2"/>
          <w:docGrid w:type="linesAndChars" w:linePitch="312" w:charSpace="0"/>
        </w:sectPr>
      </w:pPr>
    </w:p>
    <w:p>
      <w:pPr>
        <w:numPr>
          <w:ilvl w:val="0"/>
          <w:numId w:val="2"/>
        </w:numPr>
        <w:spacing w:line="480" w:lineRule="auto"/>
        <w:ind w:left="0" w:firstLine="0"/>
        <w:outlineLvl w:val="0"/>
        <w:rPr>
          <w:rFonts w:ascii="宋体" w:hAnsi="宋体"/>
          <w:b/>
          <w:bCs/>
          <w:sz w:val="28"/>
          <w:szCs w:val="28"/>
        </w:rPr>
      </w:pPr>
      <w:r>
        <w:rPr>
          <w:rFonts w:hint="eastAsia" w:ascii="宋体" w:hAnsi="宋体"/>
          <w:b/>
          <w:bCs/>
          <w:sz w:val="28"/>
          <w:szCs w:val="28"/>
        </w:rPr>
        <w:t>工程量</w:t>
      </w:r>
    </w:p>
    <w:tbl>
      <w:tblPr>
        <w:tblW w:w="1948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665"/>
        <w:gridCol w:w="2258"/>
        <w:gridCol w:w="15017"/>
        <w:gridCol w:w="899"/>
        <w:gridCol w:w="6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trHeight w:val="300" w:hRule="atLeast"/>
        </w:trPr>
        <w:tc>
          <w:tcPr>
            <w:tcW w:w="19491" w:type="dxa"/>
            <w:gridSpan w:val="5"/>
            <w:tcBorders>
              <w:top w:val="single" w:color="000000" w:sz="4" w:space="0"/>
              <w:left w:val="single" w:color="000000" w:sz="4" w:space="0"/>
              <w:bottom w:val="single" w:color="000000" w:sz="4" w:space="0"/>
              <w:right w:val="nil"/>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b/>
                <w:i w:val="0"/>
                <w:color w:val="000000"/>
                <w:sz w:val="28"/>
                <w:szCs w:val="28"/>
                <w:u w:val="none"/>
              </w:rPr>
            </w:pPr>
            <w:r>
              <w:rPr>
                <w:rFonts w:hint="eastAsia" w:ascii="宋体" w:hAnsi="宋体" w:cs="宋体"/>
                <w:b/>
                <w:i w:val="0"/>
                <w:color w:val="000000"/>
                <w:kern w:val="0"/>
                <w:sz w:val="28"/>
                <w:szCs w:val="28"/>
                <w:u w:val="none"/>
                <w:bdr w:val="none" w:color="auto" w:sz="0" w:space="0"/>
                <w:lang w:val="en-US" w:eastAsia="zh-CN" w:bidi="ar"/>
              </w:rPr>
              <w:t xml:space="preserve">表1 </w:t>
            </w:r>
            <w:r>
              <w:rPr>
                <w:rFonts w:hint="eastAsia" w:ascii="宋体" w:hAnsi="宋体" w:eastAsia="宋体" w:cs="宋体"/>
                <w:b/>
                <w:i w:val="0"/>
                <w:color w:val="000000"/>
                <w:kern w:val="0"/>
                <w:sz w:val="28"/>
                <w:szCs w:val="28"/>
                <w:u w:val="none"/>
                <w:bdr w:val="none" w:color="auto" w:sz="0" w:space="0"/>
                <w:lang w:val="en-US" w:eastAsia="zh-CN" w:bidi="ar"/>
              </w:rPr>
              <w:t>交通标志标线及隔离设施工程量清单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b/>
                <w:i w:val="0"/>
                <w:color w:val="000000"/>
                <w:sz w:val="21"/>
                <w:szCs w:val="21"/>
                <w:u w:val="none"/>
              </w:rPr>
            </w:pPr>
            <w:r>
              <w:rPr>
                <w:rFonts w:hint="eastAsia" w:ascii="宋体" w:hAnsi="宋体" w:eastAsia="宋体" w:cs="宋体"/>
                <w:b/>
                <w:i w:val="0"/>
                <w:color w:val="000000"/>
                <w:kern w:val="0"/>
                <w:sz w:val="21"/>
                <w:szCs w:val="21"/>
                <w:u w:val="none"/>
                <w:bdr w:val="none" w:color="auto" w:sz="0" w:space="0"/>
                <w:lang w:val="en-US" w:eastAsia="zh-CN" w:bidi="ar"/>
              </w:rPr>
              <w:t>序号</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b/>
                <w:i w:val="0"/>
                <w:color w:val="000000"/>
                <w:sz w:val="21"/>
                <w:szCs w:val="21"/>
                <w:u w:val="none"/>
              </w:rPr>
            </w:pPr>
            <w:r>
              <w:rPr>
                <w:rFonts w:hint="eastAsia" w:ascii="宋体" w:hAnsi="宋体" w:eastAsia="宋体" w:cs="宋体"/>
                <w:b/>
                <w:i w:val="0"/>
                <w:color w:val="000000"/>
                <w:kern w:val="0"/>
                <w:sz w:val="21"/>
                <w:szCs w:val="21"/>
                <w:u w:val="none"/>
                <w:bdr w:val="none" w:color="auto" w:sz="0" w:space="0"/>
                <w:lang w:val="en-US" w:eastAsia="zh-CN" w:bidi="ar"/>
              </w:rPr>
              <w:t>名称</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b/>
                <w:i w:val="0"/>
                <w:color w:val="000000"/>
                <w:sz w:val="21"/>
                <w:szCs w:val="21"/>
                <w:u w:val="none"/>
              </w:rPr>
            </w:pPr>
            <w:r>
              <w:rPr>
                <w:rFonts w:hint="eastAsia" w:ascii="宋体" w:hAnsi="宋体" w:eastAsia="宋体" w:cs="宋体"/>
                <w:b/>
                <w:i w:val="0"/>
                <w:color w:val="000000"/>
                <w:kern w:val="0"/>
                <w:sz w:val="21"/>
                <w:szCs w:val="21"/>
                <w:u w:val="none"/>
                <w:bdr w:val="none" w:color="auto" w:sz="0" w:space="0"/>
                <w:lang w:val="en-US" w:eastAsia="zh-CN" w:bidi="ar"/>
              </w:rPr>
              <w:t>规格或技术要求</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b/>
                <w:i w:val="0"/>
                <w:color w:val="000000"/>
                <w:sz w:val="21"/>
                <w:szCs w:val="21"/>
                <w:u w:val="none"/>
              </w:rPr>
            </w:pPr>
            <w:r>
              <w:rPr>
                <w:rFonts w:hint="eastAsia" w:ascii="宋体" w:hAnsi="宋体" w:eastAsia="宋体" w:cs="宋体"/>
                <w:b/>
                <w:i w:val="0"/>
                <w:color w:val="000000"/>
                <w:kern w:val="0"/>
                <w:sz w:val="21"/>
                <w:szCs w:val="21"/>
                <w:u w:val="none"/>
                <w:bdr w:val="none" w:color="auto" w:sz="0" w:space="0"/>
                <w:lang w:val="en-US" w:eastAsia="zh-CN" w:bidi="ar"/>
              </w:rPr>
              <w:t>单位</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b/>
                <w:i w:val="0"/>
                <w:color w:val="000000"/>
                <w:sz w:val="21"/>
                <w:szCs w:val="21"/>
                <w:u w:val="none"/>
              </w:rPr>
            </w:pPr>
            <w:r>
              <w:rPr>
                <w:rFonts w:hint="eastAsia" w:ascii="宋体" w:hAnsi="宋体" w:eastAsia="宋体" w:cs="宋体"/>
                <w:b/>
                <w:i w:val="0"/>
                <w:color w:val="000000"/>
                <w:kern w:val="0"/>
                <w:sz w:val="21"/>
                <w:szCs w:val="21"/>
                <w:u w:val="none"/>
                <w:bdr w:val="none" w:color="auto" w:sz="0" w:space="0"/>
                <w:lang w:val="en-US" w:eastAsia="zh-CN" w:bidi="ar"/>
              </w:rPr>
              <w:t>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新增交通标线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热熔型，含地面文字标记及图形标记等,详见设计说明要求。</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新增减速震动标线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热熔震荡标线施划后，基底加突起部分的涂层厚度为3mm～5mm。标线应具备良好的视认性，颜色均匀、边缘整齐、线型规则、线条流畅。标线涂层厚度应均匀，无明显起泡、皱纹、斑点、开裂、发粘、脱落、泛花等缺陷。</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铲除交通标线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采用专业除线水车清除，废旧交通标线清除后应确保清除部分无明显的标线痕迹，不产生误导交通的情况。交通标线包括预成型标线带标线、彩色地面标识、热熔标线、双组份涂料标线、振荡标线等施划于道路上的各种线条、箭头、文字、图案及立面标记、实体标记等。</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人行横道标志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1000mm×1000mm。铝板:单立柱标志采用2.5mm厚度，悬臂式标志采用3mm厚度厚；底膜字膜:V类反光膜。包含版面及滑动槽铝、抱箍、衬底、铆钉等配套附件，据实结算。本项目交通标志技术参数按本栏标准要求执行</w:t>
            </w:r>
            <w:r>
              <w:rPr>
                <w:rFonts w:hint="eastAsia" w:ascii="宋体" w:hAnsi="宋体" w:cs="宋体"/>
                <w:i w:val="0"/>
                <w:color w:val="000000"/>
                <w:kern w:val="0"/>
                <w:sz w:val="21"/>
                <w:szCs w:val="21"/>
                <w:u w:val="none"/>
                <w:bdr w:val="none" w:color="auto" w:sz="0" w:space="0"/>
                <w:lang w:val="en-US" w:eastAsia="zh-CN" w:bidi="ar"/>
              </w:rPr>
              <w:t>，具体参数详见大样图</w:t>
            </w:r>
            <w:r>
              <w:rPr>
                <w:rFonts w:hint="eastAsia" w:ascii="宋体" w:hAnsi="宋体" w:eastAsia="宋体" w:cs="宋体"/>
                <w:i w:val="0"/>
                <w:color w:val="000000"/>
                <w:kern w:val="0"/>
                <w:sz w:val="21"/>
                <w:szCs w:val="21"/>
                <w:u w:val="none"/>
                <w:bdr w:val="none" w:color="auto" w:sz="0" w:space="0"/>
                <w:lang w:val="en-US" w:eastAsia="zh-CN" w:bidi="ar"/>
              </w:rPr>
              <w:t>。</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分车型指路标志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1000mm×1800mm。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线形诱导标</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600mm×1200mm。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掉头标志1</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1000mm×1000mm。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8</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限制高排放标志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1000mm×1800mm。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9</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掉头标志2</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1000mm×1200mm。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分车道标志1</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2400mm×4800mm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分车道标志1（换膜）</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2000mm×4000mm。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12</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分车道标志4（搬迁至信号灯路口）</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2000mm×3000mm。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13</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注意行人标志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1000mm×1200mm。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14</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单立柱杆件1（含安装及基础）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φ89×4.5×3500mm。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15</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单立柱杆件2（含安装及基础）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φ114×6.0×4500mm。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auto"/>
                <w:sz w:val="21"/>
                <w:szCs w:val="21"/>
                <w:u w:val="none"/>
              </w:rPr>
            </w:pPr>
            <w:r>
              <w:rPr>
                <w:rFonts w:hint="eastAsia" w:ascii="宋体" w:hAnsi="宋体" w:eastAsia="宋体" w:cs="宋体"/>
                <w:i w:val="0"/>
                <w:color w:val="auto"/>
                <w:kern w:val="0"/>
                <w:sz w:val="21"/>
                <w:szCs w:val="21"/>
                <w:u w:val="none"/>
                <w:bdr w:val="none" w:color="auto" w:sz="0" w:space="0"/>
                <w:lang w:val="en-US" w:eastAsia="zh-CN" w:bidi="ar"/>
              </w:rPr>
              <w:t>16</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auto"/>
                <w:sz w:val="21"/>
                <w:szCs w:val="21"/>
                <w:u w:val="none"/>
              </w:rPr>
            </w:pPr>
            <w:r>
              <w:rPr>
                <w:rFonts w:hint="eastAsia" w:ascii="宋体" w:hAnsi="宋体" w:eastAsia="宋体" w:cs="宋体"/>
                <w:i w:val="0"/>
                <w:color w:val="auto"/>
                <w:kern w:val="0"/>
                <w:sz w:val="21"/>
                <w:szCs w:val="21"/>
                <w:u w:val="none"/>
                <w:bdr w:val="none" w:color="auto" w:sz="0" w:space="0"/>
                <w:lang w:val="en-US" w:eastAsia="zh-CN" w:bidi="ar"/>
              </w:rPr>
              <w:t>悬臂式杆件（含安装及基础）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φ273×10×7900mm。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auto"/>
                <w:sz w:val="21"/>
                <w:szCs w:val="21"/>
                <w:u w:val="none"/>
              </w:rPr>
            </w:pPr>
            <w:r>
              <w:rPr>
                <w:rFonts w:hint="eastAsia" w:ascii="宋体" w:hAnsi="宋体" w:eastAsia="宋体" w:cs="宋体"/>
                <w:i w:val="0"/>
                <w:color w:val="auto"/>
                <w:kern w:val="0"/>
                <w:sz w:val="21"/>
                <w:szCs w:val="21"/>
                <w:u w:val="none"/>
                <w:bdr w:val="none" w:color="auto" w:sz="0" w:space="0"/>
                <w:lang w:val="en-US" w:eastAsia="zh-CN" w:bidi="ar"/>
              </w:rPr>
              <w:t>17</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auto"/>
                <w:sz w:val="21"/>
                <w:szCs w:val="21"/>
                <w:u w:val="none"/>
              </w:rPr>
            </w:pPr>
            <w:r>
              <w:rPr>
                <w:rFonts w:hint="eastAsia" w:ascii="宋体" w:hAnsi="宋体" w:eastAsia="宋体" w:cs="宋体"/>
                <w:i w:val="0"/>
                <w:color w:val="auto"/>
                <w:kern w:val="0"/>
                <w:sz w:val="21"/>
                <w:szCs w:val="21"/>
                <w:u w:val="none"/>
                <w:bdr w:val="none" w:color="auto" w:sz="0" w:space="0"/>
                <w:lang w:val="en-US" w:eastAsia="zh-CN" w:bidi="ar"/>
              </w:rPr>
              <w:t>水泥隔离墩(加高，三根横杆)</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40cm宽底座，</w:t>
            </w:r>
            <w:r>
              <w:rPr>
                <w:rFonts w:hint="eastAsia" w:ascii="宋体" w:hAnsi="宋体" w:cs="宋体"/>
                <w:i w:val="0"/>
                <w:color w:val="000000"/>
                <w:kern w:val="0"/>
                <w:sz w:val="21"/>
                <w:szCs w:val="21"/>
                <w:u w:val="none"/>
                <w:bdr w:val="none" w:color="auto" w:sz="0" w:space="0"/>
                <w:lang w:val="en-US" w:eastAsia="zh-CN" w:bidi="ar"/>
              </w:rPr>
              <w:t>整体高1.2米，</w:t>
            </w:r>
            <w:r>
              <w:rPr>
                <w:rFonts w:hint="eastAsia" w:ascii="宋体" w:hAnsi="宋体" w:eastAsia="宋体" w:cs="宋体"/>
                <w:i w:val="0"/>
                <w:color w:val="000000"/>
                <w:kern w:val="0"/>
                <w:sz w:val="21"/>
                <w:szCs w:val="21"/>
                <w:u w:val="none"/>
                <w:bdr w:val="none" w:color="auto" w:sz="0" w:space="0"/>
                <w:lang w:val="en-US" w:eastAsia="zh-CN" w:bidi="ar"/>
              </w:rPr>
              <w:t>具体参数详见大样图。</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18</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新增警示柱</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φ114×4.5×1200mm。</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根</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19</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新增抗滑薄层（红色）</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彩色抗滑薄层路面是采用混合的彩色胶结涂料刷于路表后，再均匀撒布单粒径耐磨石料形成的路表粗糙抗滑的彩色路面形式。涂膜外观在干燥成型后，颜色、骨料颗粒分布均匀，无裂纹、骨料颗粒脱落等现象。高防滑型，BPN≥70。采用耐磨的彩色骨料，彩色抗滑薄层≥6mm，耐磨石料≥3mm。彩色抗薄层路面段以2m宽，相邻两条彩条内侧间距为8m设置，厚度为2.5～3mm，也可根据实际调整宽度和间距。</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人行道改车行道</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详见大样图。</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21</w:t>
            </w:r>
          </w:p>
        </w:tc>
        <w:tc>
          <w:tcPr>
            <w:tcW w:w="22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盖板拆除改造</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详见大样图。</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平方米</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190</w:t>
            </w:r>
          </w:p>
        </w:tc>
      </w:tr>
    </w:tbl>
    <w:p>
      <w:pPr>
        <w:jc w:val="center"/>
        <w:rPr>
          <w:rFonts w:ascii="宋体" w:hAnsi="宋体"/>
          <w:b/>
          <w:sz w:val="28"/>
          <w:szCs w:val="28"/>
        </w:rPr>
      </w:pPr>
      <w:r>
        <w:rPr>
          <w:rFonts w:hint="eastAsia" w:ascii="宋体" w:hAnsi="宋体"/>
          <w:b/>
          <w:sz w:val="28"/>
          <w:szCs w:val="28"/>
        </w:rPr>
        <w:t>表</w:t>
      </w:r>
      <w:r>
        <w:rPr>
          <w:rFonts w:ascii="宋体" w:hAnsi="宋体"/>
          <w:b/>
          <w:sz w:val="28"/>
          <w:szCs w:val="28"/>
        </w:rPr>
        <w:t>2</w:t>
      </w:r>
      <w:r>
        <w:rPr>
          <w:rFonts w:hint="eastAsia"/>
          <w:b/>
          <w:sz w:val="28"/>
          <w:szCs w:val="28"/>
        </w:rPr>
        <w:t xml:space="preserve">  交通信号设施</w:t>
      </w:r>
      <w:r>
        <w:rPr>
          <w:rFonts w:hint="eastAsia" w:ascii="宋体" w:hAnsi="宋体"/>
          <w:b/>
          <w:sz w:val="28"/>
          <w:szCs w:val="28"/>
        </w:rPr>
        <w:t>工程量清单</w:t>
      </w:r>
    </w:p>
    <w:tbl>
      <w:tblPr>
        <w:tblW w:w="2068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665"/>
        <w:gridCol w:w="3457"/>
        <w:gridCol w:w="15013"/>
        <w:gridCol w:w="899"/>
        <w:gridCol w:w="6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trHeight w:val="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道路交通信号控制机（新城7个路口信号机升级）</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1.功能参数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(1)集中协调式信号机，4U标准机架式；</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(2)每一输出板卡可控制4组独立灯组输出，整机可选择4路*（1-8）组输出；每一信号控制相位可任意设置为机动车、非机动车、行人相位，配置16组独立信号灯输出控制，具备扩展到最大32组独立灯控的能力</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(3)支持定制图形化路口警卫任务手控面板、无线手动控制面板及行人过街按钮；</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具备“节假日”、“星期”和“普通”三种模式共48个时段，支持多时段定周控制、感应控制、潮汐车道控制、行人过街请求控制、自适应控制、自适应协调控制等方案，以及黄闪、全红、关灯等多种控制模式，方案总数可达到255个；</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(5)支持感应、自适应控制下的倒计时控制：支持无通信模式、RS485通信等模式控制倒计时器；支持无通信模式提前一个周期和立即关闭倒计时，避免倒计时显示混乱，同时信号灯无任何闪烁现象；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(6)支持与视频检测系统无缝对接，实现视频交通检测下的信号控制；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(7)支持连接视频电子警察虚拟线圈存在型检测；</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(8)支持出口拥堵控制、事件检测控制、多车道汇入自适应控制；(9)支持前端虚拟检测器设置（输入包括时间、流量、占有率、第三方网络数据等），支持多种参数进行逻辑运算；</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(10)具备至少32路检测能力（不含检测卡），支持线圈、地磁、视频、雷达、雷视一体机等检测方式；</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(11)交通信息采集包括周期流量、饱和度等统计方式，本地记录并上传，具备通信中断后保存7天以上的流量数据能力；</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(12)具备RS-232/485、RJ45通讯接口，支持中心客户端远程配置，以及使用手持终端、移动PC对信号机现场配置、调试；</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(13)具有独立黄闪控制、故障保护功能；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(14)支持绿冲突、红灯全灭、红绿同亮、过流、检测器、通信等故障检测及保护功能；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(15)具有工业级可视化触控终端接口，连接后可直接显示/查看/修改信号机参数；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2.电气性能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(1)采用工控插件模块化设计，控制状态（LED指示）信息丰富，易于安装、维护；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(2)电源额定电压：AC176V~264V，50Hz±2Hz，机柜内安装220V电源备用插座；</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(3)每路输出最大驱动功率：不低于800W；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(4)整机标配功耗：&lt;50W（不含灯具消耗功率）；</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(5)信号机绝缘电阻：&gt;50MΩ；</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(6)电源输入端及灯控信号输出端具备防雷保护功能，具备过流、过压、浪涌和短路保护设备；</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(7)具备高压防误接及输入电压监测功能；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(8)易触及部件之间施加1500V、50Hz电压，不出现击穿现象；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(9)在静电放电、快速瞬变脉冲群、浪涌、电压短时中断等电磁骚扰环境下不出现电气故障；</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3.机箱材质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(1)具备防破坏、防振、防电磁干扰、防尘、防水、防潮、防高温、防锈蚀、防雷击功能；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(2)带有电源插座和空气开关，机箱座的固定机箱螺丝采用不锈钢螺丝；</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(3)机箱表面采用喷塑工艺处理，锁具、门轴坚实牢固，使用寿命在十年以上；</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(4)双开门设计,机箱门开启角度大于120°，板材厚度不小于2.0毫米，并具有防鼠功能；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(1)工作温度：-40℃～70℃；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(2)工作湿度：≤95%RH[(40±2)℃,无凝露]；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(3)正常工作时防雨淋，机柜内部无渗水或积水现象。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通过公安部下属权威检测机构检测，符合GB25280-2016《道路交通信号控制机》标准，道路交通信号控制机的指令和消息格式（通信协议）符合GB25280-2016《道路交通信号控制机》附录A的要求。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符合GB/T20999-2017《交通信号控制机与上位机间的数据通信协议》。</w:t>
            </w:r>
          </w:p>
        </w:tc>
        <w:tc>
          <w:tcPr>
            <w:tcW w:w="899"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8"/>
                <w:szCs w:val="28"/>
                <w:u w:val="none"/>
              </w:rPr>
            </w:pPr>
            <w:r>
              <w:rPr>
                <w:rFonts w:hint="eastAsia" w:ascii="宋体" w:hAnsi="宋体" w:eastAsia="宋体" w:cs="宋体"/>
                <w:i w:val="0"/>
                <w:color w:val="000000"/>
                <w:kern w:val="0"/>
                <w:sz w:val="28"/>
                <w:szCs w:val="28"/>
                <w:u w:val="none"/>
                <w:bdr w:val="none" w:color="auto" w:sz="0" w:space="0"/>
                <w:lang w:val="en-US" w:eastAsia="zh-CN" w:bidi="ar"/>
              </w:rPr>
              <w:t>台</w:t>
            </w:r>
          </w:p>
        </w:tc>
        <w:tc>
          <w:tcPr>
            <w:tcW w:w="652"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8"/>
                <w:szCs w:val="28"/>
                <w:u w:val="none"/>
              </w:rPr>
            </w:pPr>
            <w:r>
              <w:rPr>
                <w:rFonts w:hint="eastAsia" w:ascii="宋体" w:hAnsi="宋体" w:eastAsia="宋体" w:cs="宋体"/>
                <w:i w:val="0"/>
                <w:color w:val="000000"/>
                <w:kern w:val="0"/>
                <w:sz w:val="28"/>
                <w:szCs w:val="28"/>
                <w:u w:val="none"/>
                <w:bdr w:val="none" w:color="auto" w:sz="0" w:space="0"/>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14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高排放检测系统</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针对驶入黔江城区国四国五高排放车辆进行管控执法，依托现有或者新建卡口电警设备过车抓拍数据，结合禁令标志，进行备案执法。可采用 11163高排放车辆违反限行规定行驶的。或者11160机动车违反禁令标志指示的。</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系统具体功能如下：</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一、高排放车辆管理库</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1、建设黔江区域高排放车辆管理库，对辖区高排放车辆进行管理维护。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2、支持添加高排放车辆，包括车牌号、车牌颜色、车辆类型等字段。</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3、支持修改高排放车辆，包括车牌号、车牌颜色、车辆类型等字段。</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4、支持下载高排放车辆批量导入模版。</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5、支持根据高排放车辆批量导入模版，进行批量导入。</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6、支持对添加或者导入的高排放车辆进行检索。可按车牌号进行全量或者部分匹配搜索。可按车牌颜色进行搜索。</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7、支持对添加或者导入的高排放车辆进行单个或者批量删除。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8、支持一键清空所有车辆库。</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二、高排放车辆限行区域管理</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1、支持添加高排放车辆限行区域，可设置一个或者多个限行区域，每个限行区域，应单独添加</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2、支持限行区域基本信息设置，包括区域名称、设备编号、取证执法卡口；</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3、支持限行区域违法设置，包括违法代码、违法行为、禁令标志图（可选）；</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4、支持限行区域违法生效规则配置，包括是否启用，生效时段配置（0-24点）可选择多个，星期配置（周一至周日）可选择多个，有效期配置。</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5、支持查询所添加的限行区域，查询结果以列表形式展示</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6、支持修改所添加的限行区域，修改后应立即生效。</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7、支持单个或者批量删除所添加的限行区域，删除时应支持二次确认，避免无删除。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三、  高排放车辆限行违法生成</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支持根据配置的限行区域及限行规则，对经过取值执法卡口的车辆和高排放车辆库进行比对，针对比对成功的车辆，进行违法信息叠加，包括设备编号、违法行为、违法代码、设备名称、违法时间、防伪码等信息。</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2、支持对生成的违法图片存入现有平台图片存储，使其能较长时间保存。</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3、支持对生成的违法数据，进行格式封装，使其满足现有非现场执法平台标准，进行接入。</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4、支持在非现场执法的违法查询模块对生成的违法进行检索。</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四、  高排放车辆限行违法集指对接</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1、支持根据备案信息，将生成的限行违法通过重庆市交巡警总队集成指挥平台外挂的60W01接口进行违法写入。</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8"/>
                <w:szCs w:val="28"/>
                <w:u w:val="none"/>
              </w:rPr>
            </w:pPr>
            <w:r>
              <w:rPr>
                <w:rFonts w:hint="eastAsia" w:ascii="宋体" w:hAnsi="宋体" w:eastAsia="宋体" w:cs="宋体"/>
                <w:i w:val="0"/>
                <w:color w:val="000000"/>
                <w:kern w:val="0"/>
                <w:sz w:val="28"/>
                <w:szCs w:val="28"/>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8"/>
                <w:szCs w:val="28"/>
                <w:u w:val="none"/>
              </w:rPr>
            </w:pPr>
            <w:r>
              <w:rPr>
                <w:rFonts w:hint="eastAsia" w:ascii="宋体" w:hAnsi="宋体" w:eastAsia="宋体" w:cs="宋体"/>
                <w:i w:val="0"/>
                <w:color w:val="000000"/>
                <w:kern w:val="0"/>
                <w:sz w:val="28"/>
                <w:szCs w:val="28"/>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1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道路交通信号控制机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1.功能参数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(1)集中协调式信号机，4U标准机架式；</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(2)每一输出板卡可控制4组独立灯组输出，整机可选择4路*（1-8）组输出；每一信号控制相位可任意设置为机动车、非机动车、行人相位，配置16组独立信号灯输出控制，具备扩展到最大32组独立灯控的能力</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(3)支持定制图形化路口警卫任务手控面板、无线手动控制面板及行人过街按钮；</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具备“节假日”、“星期”和“普通”三种模式共48个时段，支持多时段定周控制、感应控制、潮汐车道控制、行人过街请求控制、自适应控制、自适应协调控制等方案，以及黄闪、全红、关灯等多种控制模式，方案总数可达到255个；</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(5)支持感应、自适应控制下的倒计时控制：支持无通信模式、RS485通信等模式控制倒计时器；支持无通信模式提前一个周期和立即关闭倒计时，避免倒计时显示混乱，同时信号灯无任何闪烁现象；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(6)支持与视频检测系统无缝对接，实现视频交通检测下的信号控制；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(7)支持连接视频电子警察虚拟线圈存在型检测；</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(8)支持出口拥堵控制、事件检测控制、多车道汇入自适应控制；(9)支持前端虚拟检测器设置（输入包括时间、流量、占有率、第三方网络数据等），支持多种参数进行逻辑运算；</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(10)具备至少32路检测能力（不含检测卡），支持线圈、地磁、视频、雷达、雷视一体机等检测方式；</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(11)交通信息采集包括周期流量、饱和度等统计方式，本地记录并上传，具备通信中断后保存7天以上的流量数据能力；</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(12)具备RS-232/485、RJ45通讯接口，支持中心客户端远程配置，以及使用手持终端、移动PC对信号机现场配置、调试；</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(13)具有独立黄闪控制、故障保护功能；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(14)支持绿冲突、红灯全灭、红绿同亮、过流、检测器、通信等故障检测及保护功能；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(15)具有工业级可视化触控终端接口，连接后可直接显示/查看/修改信号机参数；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2.电气性能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(1)采用工控插件模块化设计，控制状态（LED指示）信息丰富，易于安装、维护；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(2)电源额定电压：AC176V~264V，50Hz±2Hz，机柜内安装220V电源备用插座；</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(3)每路输出最大驱动功率：不低于800W；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(4)整机标配功耗：&lt;50W（不含灯具消耗功率）；</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(5)信号机绝缘电阻：&gt;50MΩ；</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(6)电源输入端及灯控信号输出端具备防雷保护功能，具备过流、过压、浪涌和短路保护设备；</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(7)具备高压防误接及输入电压监测功能；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(8)易触及部件之间施加1500V、50Hz电压，不出现击穿现象；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(9)在静电放电、快速瞬变脉冲群、浪涌、电压短时中断等电磁骚扰环境下不出现电气故障；</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3.机箱材质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(1)具备防破坏、防振、防电磁干扰、防尘、防水、防潮、防高温、防锈蚀、防雷击功能；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(2)带有电源插座和空气开关，机箱座的固定机箱螺丝采用不锈钢螺丝；</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(3)机箱表面采用喷塑工艺处理，锁具、门轴坚实牢固，使用寿命在十年以上；</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(4)双开门设计,机箱门开启角度大于120°，板材厚度不小于2.0毫米，并具有防鼠功能；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(1)工作温度：-40℃～70℃；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(2)工作湿度：≤95%RH[(40±2)℃,无凝露]；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(3)正常工作时防雨淋，机柜内部无渗水或积水现象。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通过公安部下属权威检测机构检测，符合GB25280-2016《道路交通信号控制机》标准，道路交通信号控制机的指令和消息格式（通信协议）符合GB25280-2016《道路交通信号控制机》附录A的要求。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符合GB/T20999-2017《交通信号控制机与上位机间的数据通信协议》。</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台</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机箱基础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基础参考大样图制作，满足机箱功能要求，含管网、开挖、恢复，含预埋件，C25商品混凝土，具体尺寸以厂家实际为准。</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电源防雷器</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1功能参数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系统电源避雷设备</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（1）符合IEC 61643-11, EN 61643-11, UL1449.ed.4和GB/T 18802.1等标准</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（2）交流工作电压：≥230V，最大持续工作电压（Uc）：≥280Vac；残流≤1mA；标称放电电流(8/20μs)：≥20kA，最大放电电流(8/20μs)：≥40kA；电压保护水平 Up：≥1.3KVA，</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（1）外壳材料:热塑性材料；</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（2）阻燃等级，符合UL94V0；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（1）工作环境：-40℃～85℃；</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（2）工作湿度：≤95%RH(25℃，无凝露)。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（3）防护等级：IP20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（4）安装方式：35mm标准导轨</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警卫任务（应急处突）专用控制面板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1功能参数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（1）非专业技术人员能够通过现场控制路口信号机的专用控制面板，实现对路口信号灯运行方案的控制，面板为可视化定制产品，与现场路口形状吻合。</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（2）能即时（10秒钟以内）实现路口进口任一方向（最多5个进口方向）所有信号灯为绿灯放行状态，其它进口方向以及人行信号灯为红灯状态。</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（3）能即时（10秒钟以内）实现路口所有信号灯全红、黄闪（人行信号灯无显示）、关灯等状态。</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（4）能即时（10秒钟以内）实现路口运行方案中的阶段保持和转换。阶段保持是指路口信号灯灯色固定在当前阶段不转换，直至有下一步操作为止。</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（5）能即时（10秒钟以内）实现上述几种状态的转换。</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（6）在通过信号机专用按钮实施控制时，路口所有倒计时器、待行屏等设施处于无显示状态，直至取消专用按钮控制模式</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（1）工作电源：DC5V/1A；</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（2）雷击浪涌冲击防护(电源)：5000A(8/20μs)</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（1）外表面为ABS工程塑料，激光雕刻标识；</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（2）线路板为阻燃线路板；</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（3）按键为不锈钢材质，使用寿命10万次；</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（4）安装方式：柜门内固定安装</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（1）工作温度：-20℃～70℃；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（2）工作湿度：≤95%RH（25℃，无凝露）</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个</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905"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道路交通信号灯（Φ400车行箭头灯））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1光学性能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（1）灯具由红黄绿三色无图案几何位置分立的发光单元和信号灯壳体组成，其中发光单元由LED光源、面罩、背罩、密封条等元件组成，其透光面直径为300/400mm；单柱式为300mm，悬臂式为400mm。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（2）光源采用纯色光，符合GB14887《道路交通信号灯》中色品坐标范围规定；</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（3）发光单元基准轴线上光强符合GB14887《道路交通信号灯》的要求；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（4）发光单元光强分布符合GB14887《道路交通信号灯》规定的窄角度光强分布要求；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（5）左右上下视角：30°；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（6）可视距离≥300m；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（7）具有PLC通讯功能，支持信号灯运行状态远程查询；信号灯不亮故障、红绿同亮故障、灯串损坏故障、通讯故障等故障主动上报；亮度调整等功能。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（1）发光单元采用优质超高亮LED芯片，光源衰减：50000h≤10%；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（2）发光单元中的LED使用寿命不小于50000小时；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（3）信号灯采用开关电源，其PF≥0.85，启动关闭时间≤100ms；</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（4）工作电压：AC176V-265V，50HZ；</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（5）额定功率：≤15W；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3机械参数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（1）灯具外框具有叶片，叶片开有减少风荷的整齐圆孔或条控，叶片宽度50mm～80mm，材质铝材或高分子材料，支持方行/圆形叶片可选；</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（2）灯具遮沿长度≥300mm，遮沿包角≥270°；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（3）每个灯盘可独立打开；</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（4）背架式设计，灯体可旋转角度≥30°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（1）外壳防触电、防潮、防水、防尘、散热快，厚度≥2mm，有黑色/黄色外壳可选，使用寿命≥8年；</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（2）安装背架、固定装置采用不锈钢材质结构或压铸铝材质结构，牢固耐腐蚀，无脱落风险；</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（3）信号灯透光片采用抗紫外线的聚碳酸酯（PC）为原材料制造，且在寿命期内不会褪色；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（4）线路板为阻燃线路板。</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（1）工作温度：-40℃～80℃；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（2）工作湿度：≤95%RH[(40±1)℃，无凝露]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（3）防护等级：IP53</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通过公安部下属权威检测机构检测，符合GB14887-2011《道路交通信号灯》标准要求。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在处突控制时信号灯应无闪烁现象。</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905"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道路交通信号灯（Φ400车行圆盘灯）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1光学性能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（1）灯具由红黄绿三色无图案几何位置分立的发光单元和信号灯壳体组成，其中发光单元由LED光源、面罩、背罩、密封条等元件组成，其透光面直径为300/400mm；单柱式为300mm，悬臂式为400mm。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（2）光源采用纯色光，符合GB14887《道路交通信号灯》中色品坐标范围规定；</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（3）发光单元基准轴线上光强符合GB14887《道路交通信号灯》的要求；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（4）发光单元光强分布符合GB14887《道路交通信号灯》规定的窄角度光强分布要求；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（5）左右上下视角：30°；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（6）可视距离≥300m；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（7）具有PLC通讯功能，支持信号灯运行状态远程查询；信号灯不亮故障、红绿同亮故障、灯串损坏故障、通讯故障等故障主动上报；亮度调整等功能。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（1）发光单元采用优质超高亮LED芯片，光源衰减：50000h≤10%；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（2）发光单元中的LED使用寿命不小于50000小时；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（3）信号灯采用开关电源，其PF≥0.85，启动关闭时间≤100ms；</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（4）工作电压：AC176V-265V，50HZ；</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（5）额定功率：≤15W；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3机械参数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（1）灯具外框具有叶片，叶片开有减少风荷的整齐圆孔或条控，叶片宽度50mm～80mm，材质铝材或高分子材料，支持方行/圆形叶片可选；</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（2）灯具遮沿长度≥300mm，遮沿包角≥270°；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（3）每个灯盘可独立打开；</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（4）背架式设计，灯体可旋转角度≥30°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（1）外壳防触电、防潮、防水、防尘、散热快，厚度≥2mm，有黑色/黄色外壳可选，使用寿命≥8年；</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（2）安装背架、固定装置采用不锈钢材质结构或压铸铝材质结构，牢固耐腐蚀，无脱落风险；</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（3）信号灯透光片采用抗紫外线的聚碳酸酯（PC）为原材料制造，且在寿命期内不会褪色；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（4）线路板为阻燃线路板。</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（1）工作温度：-40℃～80℃；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（2）工作湿度：≤95%RH[(40±1)℃，无凝露]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（3）防护等级：IP53</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通过公安部下属权威检测机构检测，符合GB14887-2011《道路交通信号灯》标准要求。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在处突控制时信号灯应无闪烁现象。</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865"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道路交通信号倒计时显示器</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1功能参数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（1）LED显示管管芯采用优质直插式交通专用管芯，全点阵式动态显示；</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（2）中心光强(亮度)≥5000cd/m2，视角≥30°，32级以上亮度调节，同相位倒计时同步时间≤0.1秒；</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（3）独立的红黄绿三色数字显示，单个数字显示尺寸：≥宽260mm×高490mm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（4）无需单独供电，从信号灯取电，控制主板在信号灯灯色切换时能正常工作；</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（5）支持单相位和双相位计数和显示；</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（6）支持跟随方式（学习式）、通讯方式（实时型）和自适应控制定程显示（显示时间自动学习）；</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（7）支持无通信电缆模式下手动关闭和开启倒计时；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（8）支持一个信号周期内2次以上红灯和绿灯时间计数和显示；</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（9）可视距离≥300m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（10）具有PLC通讯功能，支持倒计时显示器运行状态远程查询；灯珠损坏故障、通讯故障等故障主动上报；亮度调整等功能（选配）。</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（1）工作电源：220VAC±20%,50Hz±2Hz；</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（2）功率：≤25W。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3机械参数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（1）外壳材料为ABS工程塑料；</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（2）显示单元全密封。</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（1）工作环境：-20℃～70℃；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（2）工作湿度：≤95%RH[(40±2)℃,无凝露]；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（3）防护等级：IP53。</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具有与信号机实现有线通讯的功能，支持接收信号机开/关屏命令。</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通过公安部下属权威检测机构检测，符合GA/T508-2014《道路交通信号倒计时显示器》标准要求。</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1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道路交通信号灯（人行信号灯）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1光学性能</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（1）灯具由两灯两色与双色倒计时器三个几何位置分立的发光单元和信号灯壳体组成，其中发光单元由LED光源、面罩、背罩、密封条等元件组成，其透光面直径为300mm；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（2）光源采用纯色光，符合GB14887《道路交通信号灯》中色品坐标范围规定；</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（3）发光单元基准轴线上光强符合GB14887《道路交通信号灯》的要求；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（4）发光单元光强分布符合GB14887《道路交通信号灯》规定的窄角度光强分布要求；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（5）左右上下视角：30°；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（6）可视距离≥300m；</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（7）同相位倒计时同步时间≤0.1秒；支持跟随方式（学习式）、通讯方式（实时型）和自适应控制定程显示（显示时间自动学习）；支持一个信号周期内2次以上红灯和绿灯时间计数和显示；</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（8）具有HiPLC通讯功能，后台系统可通过此功能查看灯具运行状态、LED灯珠损坏情况，进行亮度调节，支持故障上报。</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2电气参数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（1）发光单元采用优质超高亮LED芯片，光源衰减：50000h≤10%；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（2）发光单元中的LED使用寿命不小于50000小时；</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（3）信号灯采用开关电源，其PF≥0.85，启动关闭时间≤100ms；</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（4）工作电压：AC176V-265V，50HZ；</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（5）额定功率：≤15W；</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3机械参数</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（1）灯具外框具有叶片，叶片开有减少风荷的整齐圆孔或条控，叶片宽度50mm～80mm，材质铝材或高分子材料，支持方行/圆形叶片可选；（2）灯具遮沿长度150mm，遮沿包角≥270°；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（3）每个灯盘可独立打开；</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（4）背架式设计，灯体可旋转角度≥30°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4材质</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（1）外壳防触电、防潮、防水、防尘、散热快，厚度≥2mm，有黑色/黄色外壳可选，使用寿命≥8年；</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（2）安装背架、固定装置采用不锈钢材质结构或压铸铝材质结构，牢固耐腐蚀，无脱落风险；</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（3）信号灯透光片采用抗紫外线的聚碳酸酯（PC）为原材料制造，且在寿命期内不会褪色；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（4）线路板为阻燃线路板。</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5工作环境</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（1）工作温度：-40℃～80℃；</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（2）工作湿度：≤95%RH[(40±1)℃，无凝露]</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（3）防护等级：IP53</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通过公安部下属权威检测机构检测，符合GB14887-2011《道路交通信号灯》标准要求。</w:t>
            </w:r>
            <w:r>
              <w:rPr>
                <w:rFonts w:hint="eastAsia" w:ascii="宋体" w:hAnsi="宋体" w:eastAsia="宋体" w:cs="宋体"/>
                <w:i w:val="0"/>
                <w:color w:val="000000"/>
                <w:kern w:val="0"/>
                <w:sz w:val="21"/>
                <w:szCs w:val="21"/>
                <w:u w:val="none"/>
                <w:bdr w:val="none" w:color="auto" w:sz="0" w:space="0"/>
                <w:lang w:val="en-US" w:eastAsia="zh-CN" w:bidi="ar"/>
              </w:rPr>
              <w:br w:type="textWrapping"/>
            </w:r>
            <w:r>
              <w:rPr>
                <w:rFonts w:hint="eastAsia" w:ascii="宋体" w:hAnsi="宋体" w:eastAsia="宋体" w:cs="宋体"/>
                <w:i w:val="0"/>
                <w:color w:val="000000"/>
                <w:kern w:val="0"/>
                <w:sz w:val="21"/>
                <w:szCs w:val="21"/>
                <w:u w:val="none"/>
                <w:bdr w:val="none" w:color="auto" w:sz="0" w:space="0"/>
                <w:lang w:val="en-US" w:eastAsia="zh-CN" w:bidi="ar"/>
              </w:rPr>
              <w:t>在处突控制时信号灯应无闪烁现象。</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信号灯单柱杆及基础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含不锈钢遮水帽、路面恢复、基础砼及砼浇筑、养护、模板新建与拆除，钢筋笼埋设及其配件，技术参数详见详见大样图。</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6~10米信号灯悬臂杆及基础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八棱锥型变径灯杆，表面热浸锌，含基础开挖、余泥清运、路面恢复，基础砼及砼浇筑、养护、模板，钢筋笼埋设,包管道及其配件（黄色不锈钢遮水帽）等，具体参数见大样图。</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灯具配件</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安装信号灯具、倒计时显示器、人行过街按钮等所需背板、螺丝、抱箍等定制配件。</w:t>
            </w:r>
          </w:p>
        </w:tc>
        <w:tc>
          <w:tcPr>
            <w:tcW w:w="899"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652"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车行信号灯控制电缆</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RVV4×1.5。</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800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人行灯控制电缆</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RVV4×1.5。</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倒计时显示器电源线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RVV4×1.5。</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倒计时显示器控制线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RVVSP2×1.0。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主电源线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RVV3×10.0。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网线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室外超五类网线。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报修电话标牌</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版面:600×1200mm，铝板:2.5mm厚；底膜字膜:Ⅳ类反光膜。</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接地线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BVR1×6.0。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接地体</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杆件或机箱专业接地，接地极、50×50镀锌角铁、40×5扁钢，含焊接，电阻小于4欧姆。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车行道开挖及恢复</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埋深度不小于70cm；外运余泥，开挖、回填、恢复原有路面；包括电子警察、违停抓拍等其他电子设施部分。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人行道或绿化带开挖及恢复</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埋深度不小于50cm；外运余泥，开挖、回填、恢复原有路面；包括电子警察、违停抓拍等其他电子设施部分。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车行道管道敷设</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3.5×Φ114mm镀锌钢管，包括电子警察、违停抓拍等其他电子设施部分。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人行道管道敷设</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3.5×Φ100mmHDPE管，包括电子警察、违停抓拍等其他电子设施部分。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手孔井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内部空间长宽均为500mm,深度760mm，底部应设有渗水空间，就近接入雨水系统，详见大样图。当手孔井设置在车行道上时，则设为球墨铸铁井盖井圈,井盖与井座一体化防盗连接,井盖颜色与车行道一致，要求能承载机动车，包括电子警察、违停抓拍等其他电子设施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配套附件</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尾纤、网络跳线、水晶头、工具等完成此项所需的所有辅材。</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4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施工调试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含辅材、吊车、安装登高车等</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8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电源引入</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由建设单位与电力部门协定，含路口信号灯、电警、违停等带电部分。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4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系统调试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送电后，信号灯接线、接入现有信控系统等调试</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r>
    </w:tbl>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hint="eastAsia" w:ascii="宋体" w:hAnsi="宋体"/>
          <w:b/>
          <w:sz w:val="28"/>
          <w:szCs w:val="28"/>
        </w:rPr>
      </w:pPr>
    </w:p>
    <w:p>
      <w:pPr>
        <w:jc w:val="center"/>
        <w:rPr>
          <w:rFonts w:ascii="宋体" w:hAnsi="宋体"/>
          <w:b/>
          <w:sz w:val="28"/>
          <w:szCs w:val="28"/>
        </w:rPr>
      </w:pPr>
      <w:r>
        <w:rPr>
          <w:rFonts w:hint="eastAsia" w:ascii="宋体" w:hAnsi="宋体"/>
          <w:b/>
          <w:sz w:val="28"/>
          <w:szCs w:val="28"/>
        </w:rPr>
        <w:t>表</w:t>
      </w:r>
      <w:r>
        <w:rPr>
          <w:rFonts w:ascii="宋体" w:hAnsi="宋体"/>
          <w:b/>
          <w:sz w:val="28"/>
          <w:szCs w:val="28"/>
        </w:rPr>
        <w:t>3</w:t>
      </w:r>
      <w:r>
        <w:rPr>
          <w:rFonts w:hint="eastAsia"/>
          <w:b/>
          <w:sz w:val="28"/>
          <w:szCs w:val="28"/>
        </w:rPr>
        <w:t xml:space="preserve">  电子警察设施</w:t>
      </w:r>
      <w:r>
        <w:rPr>
          <w:rFonts w:hint="eastAsia" w:ascii="宋体" w:hAnsi="宋体"/>
          <w:b/>
          <w:sz w:val="28"/>
          <w:szCs w:val="28"/>
        </w:rPr>
        <w:t>工程量清单</w:t>
      </w:r>
    </w:p>
    <w:tbl>
      <w:tblPr>
        <w:tblW w:w="2068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665"/>
        <w:gridCol w:w="3457"/>
        <w:gridCol w:w="15013"/>
        <w:gridCol w:w="899"/>
        <w:gridCol w:w="6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trHeight w:val="648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900W闯红灯电子警察抓拍摄像机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1、包含高清一体化嵌入式摄像机、高清镜头、室外防护罩、相机内置网络信号防雷器、电源适配器等；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2、图像传感器：采用1英寸GMOS；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3、最大图像尺寸：≥4096×2160像素；</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4、帧率：在1～25fps可调；</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5、视频压缩支持H.265、H.264、M-JPEG；</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6、支持车辆捕获抓拍功能，在天气晴朗无雾，号牌无遮挡、无污损，白天环境光照度不低于200lx，晚上辅助光照度不高于30lx的条件下测试，白天和晚上的捕获率均≥99%</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7、支持智能识别功能：内置视频识别功能，支持车牌识别、视频触发、车身颜色识别、车型识别，通行车辆信息捕获和违章检测功能；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支持连续闯红灯事件检测功能，对某一时间段内连续闯红灯事件进行检测，并自动上传报警信息；支持对摩托车（含电动行车）闯红灯、逆行、载人、未戴头盔行为进行检测并抓拍图片，在天气晴朗无雾，车辆无遮挡，白天环境光照度不低于200lx的情况下进行测试；捕获率≥99%；检测准确率≥99%。</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9、支持车辆子品牌识别功能，通过车头可识别7100种，通过车尾可识别3800种，全天识别准确率不低于99%</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 具有抓拍黄牌车、蓝牌车、绿牌车、渐变绿牌车、黑牌车、白牌车、黄绿双拼牌车和不启用抓拍八个设置选项。可对蓝色、黄色、绿色、渐变绿色、黑色、白色、黄绿双拼色以及其他不同颜色车牌的车辆进行选择抓拍</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11、支持根据现场违章抓拍需求通过web界面设置事件优先度，事件优先度1～16可设，设置后可按事件优先度进行违章抓拍及图片存储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支持分别对9种车型（大货车、中货车、小货车、客车、小轿车、中客车、危险品运输车、校车、其他车型等）进行不同超速比设置，可设置12个超速比区间。在相同道路上，设备支持根据不同的超速比设置对不同车型进行超速抓拍，并输出不同的超速抓拍结果及违法代码</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13、未叠加字符信息抓图分辨率：4096像素×2160像素；叠加字符信息抓图分辨率：4096像素×4312像素</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14、支持识别车标类型≥460种；在天气晴朗无雾，车辆无遮挡，白天环境光照度不低于200lx，夜晚辅助光照度不高于30lx的情况下进行测试；白天车标识别准确率≥99%；晚上车标识别准确率≥99%。</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15、工作电压：220VAC±20%；频率：50HZ±2%；16、功耗：20W MAX；</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17、外壳防护等级应不低于IP66；</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18、抓拍机需满足《闯红灯自动记录系统通用技术条件》（GA/T 496-2014）技术规范的要求。需提供省部级及以上安全与警用电子产品质量监督检验中心或安全防范报警系统产品质量检验中心出具的检测报告复印件，加盖厂商鲜章。</w:t>
            </w:r>
          </w:p>
        </w:tc>
        <w:tc>
          <w:tcPr>
            <w:tcW w:w="899"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台</w:t>
            </w:r>
          </w:p>
        </w:tc>
        <w:tc>
          <w:tcPr>
            <w:tcW w:w="652"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05"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900W反向环保卡口抓拍摄像机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1.采用一体化设计，含智能卡口摄像机（内置GPU分析芯片）、综合控制模块、高清镜头、防雷器、温控护罩、电源适配器，内置车牌LED补光灯等；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2.分辨率：≥4096*2160；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3.传感器：≥1英寸 GMOS；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4.覆盖范围：≥二车道；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5.视频帧率：1～25fps 可调；</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6.镜头：配置50mm人车关联专用镜头；</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7.视频编码格式：H.265、H.264；</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8.图片编码格式：JPEG</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9.最低照度：≤0.0002 Lx（彩色）；</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10.通信接口：≥2个100/1000M 网口，≥3个RS485 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11.智能功能：内置车牌识别（含新能源）、车型识别、车身颜色、车辆子品牌识别、打电话不系安全带、开车打电话、逆行、变道、压线、货车闯禁等多种违章检测功能，同时支持摩托车、电动自行车检测抓拍；</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12.补光灯控制：支持白天、夜晚两种模式，支持配置时间自动切换日夜模式；</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13.抓拍响应：抓拍图片到输出车牌信息的时间＜80ms；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14.视频接入标准：GB/T 28181；</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15.图片接入标准：GA/T1400，SDK；</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16.外设扩展：支持车检器、雷达、补光灯等的多类外设接入联动；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.支持远程数据上传，可将抓拍的车辆图片、结构化、视频数据上传给黔江区公安局交通管理支队管理后台及黔江区公安局现有视图库；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17.工作温度：-40℃-70℃；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18.工作湿度：5%~95%@40℃（无凝结）；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19.满足 GA/ T497-2016技术规范，满足重庆市公安局交巡警总队公安交通集成指挥平台交通执法设施备案要求；</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20.搭配一级补光装置，夜间抓拍可获得全彩图像，车身和车窗内特征可以满足用户基础需求。</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FF0000"/>
                <w:sz w:val="22"/>
                <w:szCs w:val="22"/>
                <w:u w:val="none"/>
              </w:rPr>
            </w:pPr>
            <w:r>
              <w:rPr>
                <w:rFonts w:hint="eastAsia" w:ascii="宋体" w:hAnsi="宋体" w:eastAsia="宋体" w:cs="宋体"/>
                <w:i w:val="0"/>
                <w:color w:val="auto"/>
                <w:kern w:val="0"/>
                <w:sz w:val="22"/>
                <w:szCs w:val="22"/>
                <w:u w:val="none"/>
                <w:bdr w:val="none" w:color="auto" w:sz="0" w:space="0"/>
                <w:lang w:val="en-US" w:eastAsia="zh-CN" w:bidi="ar"/>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雷达视频一体摄像机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1、采用一体化设计，由智能摄像机及多目标跟踪雷达构成，包含高清一体化嵌入式摄像机、高清镜头、室外防护罩、相机内置网络信号防雷器、电源适配器等；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2、雷达：高精度毫米波雷达；</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3、视频传感器类型：1/1.8"；</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4、检测宽度： 支持双向多车道多目标轨迹跟踪检测，实时在线仿真，横向不低于4个车道，纵向250米；</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5、最大目标跟踪：≥128个；</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6、视频图像分辨率：≥3840×2160；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7、视频编码格式：H.264、H.265；</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8、视频接入协议：GB/T28181；</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9、通信接口：2个10M/100M/1000M 自适应网口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10、网络协议：TCP/IP,HTTP,HTTPS,FTP,DNS,RTP,RTSP,RTCP,NTP,IPv6, DHCP,PPPoE,SMTP,SNMP,IGMP,802.1x等网络协议；</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11、联动功能：应具备与现有交通信号控制机及信号系统联动，实现自适应信号控制，同时其交通流量数据可上传至管理平台内；</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12、交通异常提示：当检测到车流中异常低速、停车时输出报警信息，报警信息分为拥堵、缓行、逆行、变道、跟车过近、异常停车等；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13、交通智能识别：内置车流量、车道平均速度、车头时距、车头间距、车道时间占有率、车道空间占有率、车辆类型、车辆排队长度等智能算法；</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14、位置速度信息叠加：支持雷达目标位置和速度信息与视频图像叠加；</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15、交通状态检测：支持综合时间占有率、车流量及排队长度等参数，识别交通状态，包括：畅通、缓慢及拥堵；16、支持车辆信息上报功能检查：支持周期上报车型、车牌号、车头坐标/车尾坐标、车辆坐标、车牌颜色、车身颜色、车辆品牌等道路数字化信息。上报频率≥12.5Hz，延时≤200m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17、支持区域状态数据输出，包括秒级排队长度、车辆数、队首/队尾车辆信息，车道车辆分布信息等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18、电源：AC 220V±40%；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19、工作温度：－20℃～70℃。监督检验中心或安全防范报警系统产品质量检验中心出具的检测报告复印件，加盖厂商鲜章。</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78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LED补光灯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1、1个灯覆盖1车道，带安装支架或导轨；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2、适用于交通摄像机的夜间视频检测、车辆抓拍、视频录像补光；</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3、平均功率：35W；</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4、光学性能：在20m位置基准轴上，峰值照度≤300 Lux；</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5、光学模式：频闪，支持环境亮度检测；</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6、光通量：4800lm；</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7、色温3000K～5000K；</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8、工作湿度：湿度5%~95%@40℃，无凝结；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9、有效补光距离：20米；</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10、工作温度-20℃～+70℃；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11、工作湿度：5%~95%@40℃（无凝结）；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12、防护等级：IP66；</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13、符合GA/T1202-2022《交通技术监控成像补光装置通用技术条件》标准。需提供省部级及以上安全与警用电子产品质量监督检验中心或安全防范报警系统产品质量检验中心出具的检测报告复印件，加盖厂商鲜章。</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5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生态环保型智能补光灯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1.具备多种补光方式，包括 LED 光源、气体放电光源和红外光源，且气体放电光源的脉冲补光方式仅适用于日间补光，在环境光照度＜500 lx 时可自动关闭；</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2.LED 灯珠数量：≥24 颗；</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3.格栅：带 LED 格栅，有效减少周边光污染；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4.色温：气体放电光源≤7000K，LED 光源≤5500K，红外光应在680nm~2500nm 范围内；</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5.发光角度：单车道；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6.气体爆闪峰值闪光持续时间：1/30ms；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7.气体爆闪回电时间：＜67ms；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8.气体单次闪光能量：200J；</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9.气体闪光次数：＞2000 万次（2S 闪一次）；</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10.覆盖范围：单车道；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11.最佳补光距离：16 米～30 米；</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12.触发方式：电平量触发；</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13.触发接口：1 路频闪触发输入，1 路爆闪输入,1 路红外滤片切换输入；</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14.外壳材质：压铸铝；</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15.防护等级：IP65；</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16.符合《GA/T 1202-2022 交通技术监控成像补光装置通用技术条件》相关技术标准。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78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交通终端管理设备</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1、嵌入式Linux架构，四核ARM处理器；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2、全机身全铝金属散热，内部无风扇；</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3、操作界面：WEB方式；</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4、视频输入：12路高清视频及图片流；</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5、硬盘存储：内置4个SATA接口硬盘，含不低于8TB存储硬盘；（删除）6、网络接口：配置不低于16个1000M以太网接口，2个1000M SPF光纤接口；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7、其他接口：具有报警输入，报警输出，RS232接口，RS485接口，USB等常用接口；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8、系统稳定性：对于在记录过程中出现的系统死机或意外故障，能够在规定的时间内自动恢复其正常工作状态并使故障前的信息不丢失；</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9、视频格式编码：H.264、H.265；</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10、支持双网隔离应用，可向两个隔离网络分别上传图片和视频数据；</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11、图片合成：违章图片合成，字符叠加等 ；</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12、数据防删改功能：录像、图片无法直接删除；</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13、视频接入协议：GB/T28181；</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14、工作环境温度：-40℃-70℃。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15、工作环境湿度：10%~90%（无冷凝）。</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2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auto"/>
                <w:sz w:val="22"/>
                <w:szCs w:val="22"/>
                <w:u w:val="none"/>
              </w:rPr>
            </w:pPr>
            <w:r>
              <w:rPr>
                <w:rFonts w:hint="eastAsia" w:ascii="宋体" w:hAnsi="宋体" w:eastAsia="宋体" w:cs="宋体"/>
                <w:i w:val="0"/>
                <w:color w:val="auto"/>
                <w:kern w:val="0"/>
                <w:sz w:val="22"/>
                <w:szCs w:val="22"/>
                <w:u w:val="none"/>
                <w:bdr w:val="none" w:color="auto" w:sz="0" w:space="0"/>
                <w:lang w:val="en-US" w:eastAsia="zh-CN" w:bidi="ar"/>
              </w:rPr>
              <w:t>信号智能终端</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auto"/>
                <w:sz w:val="22"/>
                <w:szCs w:val="22"/>
                <w:u w:val="none"/>
              </w:rPr>
            </w:pPr>
            <w:r>
              <w:rPr>
                <w:rFonts w:hint="eastAsia" w:ascii="宋体" w:hAnsi="宋体" w:eastAsia="宋体" w:cs="宋体"/>
                <w:i w:val="0"/>
                <w:color w:val="auto"/>
                <w:kern w:val="0"/>
                <w:sz w:val="22"/>
                <w:szCs w:val="22"/>
                <w:u w:val="none"/>
                <w:bdr w:val="none" w:color="auto" w:sz="0" w:space="0"/>
                <w:lang w:val="en-US" w:eastAsia="zh-CN" w:bidi="ar"/>
              </w:rPr>
              <w:t>1、支持对信号机进行全局感应决策，支持各方向实时交通参数优化控制，决策频次≤3秒；</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2、支持实时交通参数预测，实现对信号机进行周期级自适应控制，决策频次为每周期；</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3、支持接入雷视交通流量检测数据，挖掘交通流时变规律，自动划分控制时段并生成控制预案；</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4、支持不少于94种常规放行模式；</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5、支持对信号机及关联雷视等设备运行状态监测及报警；</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6、内置不少于32G存储卡，支持本地存储与查询过车、周期统计数据等信控相关业务数据；</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7、支持数据循环覆盖存储；</w:t>
            </w:r>
            <w:r>
              <w:rPr>
                <w:rFonts w:hint="eastAsia" w:ascii="宋体" w:hAnsi="宋体" w:eastAsia="宋体" w:cs="宋体"/>
                <w:i w:val="0"/>
                <w:color w:val="auto"/>
                <w:kern w:val="0"/>
                <w:sz w:val="22"/>
                <w:szCs w:val="22"/>
                <w:u w:val="none"/>
                <w:bdr w:val="none" w:color="auto" w:sz="0" w:space="0"/>
                <w:lang w:val="en-US" w:eastAsia="zh-CN" w:bidi="ar"/>
              </w:rPr>
              <w:br w:type="textWrapping"/>
            </w:r>
            <w:r>
              <w:rPr>
                <w:rFonts w:hint="eastAsia" w:ascii="宋体" w:hAnsi="宋体" w:eastAsia="宋体" w:cs="宋体"/>
                <w:i w:val="0"/>
                <w:color w:val="auto"/>
                <w:kern w:val="0"/>
                <w:sz w:val="22"/>
                <w:szCs w:val="22"/>
                <w:u w:val="none"/>
                <w:bdr w:val="none" w:color="auto" w:sz="0" w:space="0"/>
                <w:lang w:val="en-US" w:eastAsia="zh-CN" w:bidi="ar"/>
              </w:rPr>
              <w:t>8、具有不少于3个RJ45 1000M以太网口，支持双网域应用。</w:t>
            </w:r>
          </w:p>
        </w:tc>
        <w:tc>
          <w:tcPr>
            <w:tcW w:w="0" w:type="auto"/>
            <w:tcBorders>
              <w:top w:val="nil"/>
              <w:left w:val="nil"/>
              <w:bottom w:val="nil"/>
              <w:right w:val="nil"/>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auto"/>
                <w:sz w:val="22"/>
                <w:szCs w:val="22"/>
                <w:u w:val="none"/>
              </w:rPr>
            </w:pPr>
            <w:r>
              <w:rPr>
                <w:rFonts w:hint="eastAsia" w:ascii="宋体" w:hAnsi="宋体" w:eastAsia="宋体" w:cs="宋体"/>
                <w:i w:val="0"/>
                <w:color w:val="auto"/>
                <w:kern w:val="0"/>
                <w:sz w:val="22"/>
                <w:szCs w:val="22"/>
                <w:u w:val="none"/>
                <w:bdr w:val="none" w:color="auto" w:sz="0" w:space="0"/>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auto"/>
                <w:sz w:val="22"/>
                <w:szCs w:val="22"/>
                <w:u w:val="none"/>
              </w:rPr>
            </w:pPr>
            <w:r>
              <w:rPr>
                <w:rFonts w:hint="eastAsia" w:ascii="宋体" w:hAnsi="宋体" w:eastAsia="宋体" w:cs="宋体"/>
                <w:i w:val="0"/>
                <w:color w:val="auto"/>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室外机柜(含风扇、防雷、强电模块)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箱体材质采用镀锌钢板，箱体厚度≥1.5mm。</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箱体表面要求静电喷塑，箱体具有防水、防尘、通风散热、抗紫外线（防老化）、防盗、防锈、耐酸碱腐蚀等功能；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环境工作温度：-20℃到70℃，工作湿度0~95%RH；防护等级要求≥IP55；</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外观尺寸：高1210mm、宽600mm、深600mm</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机箱顶部采用帽檐斜顶方式，箱体预留下进线敲落孔，进线孔须有胶套保护</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箱体颜色统一采用国标色卡GSB05-1426-2001标准样卡的中灰（色号B02），箱体正面和侧面按设计要求贴有警告标志；</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箱体门采用防拆装铰链，门开启角度≥120度，铰链安装于正面左侧，门锁安装于正面右侧。</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接地体施工应符合 GB 50169-2006的规定。</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箱体外门采用机械锁，机械锁采用三角转舌锁，具有防盗防破坏功能。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配置要求：内含≥1个220V单相电源防雷2路，箱体顶部安装风机1个，安装≥3个铜制接地端子，双路空气开关1个，单路空气开关8个，三芯维护插座1个，含1个顶部风扇，内置2块搁板；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机箱基础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基础参考大样图制作，满足机箱功能要求，含管网、开挖、恢复，含预埋件，C25商品混凝土，具体尺寸以厂家实际为准。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硬盘</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Style w:val="122"/>
                <w:bdr w:val="none" w:color="auto" w:sz="0" w:space="0"/>
                <w:lang w:val="en-US" w:eastAsia="zh-CN" w:bidi="ar"/>
              </w:rPr>
              <w:t>8</w:t>
            </w:r>
            <w:r>
              <w:rPr>
                <w:rFonts w:hint="eastAsia" w:ascii="宋体" w:hAnsi="宋体" w:eastAsia="宋体" w:cs="宋体"/>
                <w:i w:val="0"/>
                <w:color w:val="000000"/>
                <w:kern w:val="0"/>
                <w:sz w:val="21"/>
                <w:szCs w:val="21"/>
                <w:u w:val="none"/>
                <w:bdr w:val="none" w:color="auto" w:sz="0" w:space="0"/>
                <w:lang w:val="en-US" w:eastAsia="zh-CN" w:bidi="ar"/>
              </w:rPr>
              <w:t>T 监控级 SATA3 3.5寸。</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云存储存储硬盘</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1、支持温度传感器;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2、容量不低于16T，256MB缓存；</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3、平均故障间隔时间MTBF:2,500,000小时；</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4、转速:7200rpm;</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5、接口访问速度:6.0、3.0 Gb/秒；</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6、最高可持续传输率:270MB/秒;</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7、平均闲置功率5.1瓦；</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8、最大运行功耗、随机读/写4K/16Q为9.4,6.4瓦；</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9、电源+12V和+5V；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10、运行时温度 5~60°C。</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43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交通信号灯检测器</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1、16路信号灯交流信号输入接口，可扩展22路</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2、4个RS485输出接口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3、1路100M网口输出，1个5VDC输出接口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4、5路拨码开关，用来设置波特率、地址和上传模式</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5、实时输出交通灯信号状态</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6、工作温度：温度-30℃~70℃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7、电源：AC220V±10%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8、工作湿度：湿度5%~95%@40℃，无凝结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9、功耗：＜5W</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7~11米长悬臂杆电子警察杆及基础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八棱锥型变径灯杆，表面热浸锌，含基础开挖、余泥清运、路面恢复，基础砼及砼浇筑、养护、模板，钢筋笼埋设,包管道及其配件（黄色不锈钢遮水帽）等，</w:t>
            </w:r>
            <w:bookmarkStart w:id="60" w:name="_GoBack"/>
            <w:bookmarkEnd w:id="60"/>
            <w:r>
              <w:rPr>
                <w:rFonts w:hint="eastAsia" w:ascii="宋体" w:hAnsi="宋体" w:eastAsia="宋体" w:cs="宋体"/>
                <w:i w:val="0"/>
                <w:color w:val="000000"/>
                <w:kern w:val="0"/>
                <w:sz w:val="22"/>
                <w:szCs w:val="22"/>
                <w:u w:val="none"/>
                <w:bdr w:val="none" w:color="auto" w:sz="0" w:space="0"/>
                <w:lang w:val="en-US" w:eastAsia="zh-CN" w:bidi="ar"/>
              </w:rPr>
              <w:t>具体参数见大样图。</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电子警察提示标志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铝合金板1000×1400×2mm标牌，符合道路交通标志相关国家规范要求</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9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工业级光纤收发器</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导轨式千兆光纤收发器（1光1电，大于10公里）</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 xml:space="preserve">接口：1个千兆RJ45，1个千兆FC光口 </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传输距离：0~20公里</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含光模块</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操作温度：-30~70 ˚C</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浪涌防护：4KV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防护等级：IP40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网络标准：IEEE802.3;IEEE802.3u;IEEE802.3x。</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挂箱</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内含双路220V电源防雷，双路10A空气开关一个， 3芯插座一个，抱杆安装</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结构：整体结构采用拼焊结构，牢固、钢性好、牢固可靠</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防护等级IP55，保护内部设备不受外界恶劣环境的干扰</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机柜采用主体焊接、部分拼装的结构，保证了防护性</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采用的是专用户外柜锁，具有良好的防水、防盗性能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环境适应性好，能最大限度地降低设备对环境的要求接地系统安全可靠</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机柜底部进出线缆，有效实现防水、防尘</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机柜采用抱杆安装方式，具有防虫、防鼠功效</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一般规范</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工作湿度：湿度5%~95%@40℃，无凝结</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工作温度：温度-40℃~70℃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挂箱工业交换机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 配置：提供4个千兆电口，2个千兆光口。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 交换容量≥12 Gbps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 转发性能≥8.928 Mpps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 支持≥2K MAC地址表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 支持防护等级IP40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 支持无风扇设计</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 支持双电源输入</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 静电放电抗扰度等级（ESD）满足接触放电6kv，空气放电8kv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 网口浪涌等级(Surge)满足6kv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10.支持-40℃到+75℃工作环境温度。</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1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控制机箱工业交换机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1、配置：可用千兆电接口数量≥16，可用千兆光接口数量≥4</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2、支持独立的console管理串口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3、交换容量：336Gbps/3.36Tbps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4、转发性能：30Mpps/87Mpps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5、提供工信部入网许可证，入网检测报告证明及CQC认证证书</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6、支持802.3ad规定的链路聚合功能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7、支持MAC地址绑定功能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8、支持按端口划分VLAN，支持VLAN TRUNK</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9、支持 IPv4/IPv6 静态路由，支持RIP/RIPng，OSPFV1/V2/V3</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10、支持广播风暴抑制</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11、支持IGMP Snooping</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12、支持基于源MAC地址、目的MAC地址的ACL13、支持端口镜像</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14、可以为远程连接用户提供访问控制，拒绝未通过验证的连接</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通信接入（带宽100Mb）</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据实</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网线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室外超五类网线。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500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单模光纤</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4芯室外单模光纤。</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1080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摄像机电源电缆</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电源线，RVV3×1黑-红-黑-黄绿。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1050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补光灯控制线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RVVP2×1，黑-红-蓝/屏蔽线。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带屏蔽双绞信号线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屏蔽双绞线，RVVSP2×0.5。</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红灯检测器信号线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RVVSP2×1.0。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550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控制箱电源线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RVV3×4。</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接地线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BVR1×6.0。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接地体</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杆件或机箱专业接地，接地极、50×50镀锌角铁、40×5扁钢，含焊接，电阻小于4欧姆。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尾纤盒</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SC接口-8口，尾纤盒支持导轨式安装；含尾纤、跳线（SC-SC）、尾纤盒、耦合器等其他耗材</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配套附件</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含尾纤、网络跳线、水晶头、工具等完成此项所需的所有辅材。</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施工调试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含辅材、吊车、安装登高车等</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系统调试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电子设备接入黔江区公安局交通管理支队现有违法管理平台调试</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bl>
    <w:p>
      <w:pPr>
        <w:spacing w:line="180" w:lineRule="auto"/>
        <w:ind w:left="482" w:hanging="480" w:hangingChars="200"/>
        <w:jc w:val="left"/>
        <w:rPr>
          <w:rFonts w:ascii="宋体" w:hAnsi="宋体"/>
          <w:b/>
          <w:sz w:val="24"/>
        </w:rPr>
      </w:pPr>
    </w:p>
    <w:p>
      <w:pPr>
        <w:jc w:val="center"/>
        <w:rPr>
          <w:rFonts w:ascii="宋体" w:hAnsi="宋体"/>
          <w:b/>
          <w:sz w:val="28"/>
          <w:szCs w:val="28"/>
        </w:rPr>
      </w:pPr>
      <w:r>
        <w:rPr>
          <w:rFonts w:hint="eastAsia" w:ascii="宋体" w:hAnsi="宋体"/>
          <w:b/>
          <w:sz w:val="28"/>
          <w:szCs w:val="28"/>
        </w:rPr>
        <w:t>表</w:t>
      </w:r>
      <w:r>
        <w:rPr>
          <w:rFonts w:ascii="宋体" w:hAnsi="宋体"/>
          <w:b/>
          <w:sz w:val="28"/>
          <w:szCs w:val="28"/>
        </w:rPr>
        <w:t>4</w:t>
      </w:r>
      <w:r>
        <w:rPr>
          <w:rFonts w:hint="eastAsia"/>
          <w:b/>
          <w:sz w:val="28"/>
          <w:szCs w:val="28"/>
        </w:rPr>
        <w:t xml:space="preserve">  违停抓拍设施</w:t>
      </w:r>
      <w:r>
        <w:rPr>
          <w:rFonts w:hint="eastAsia" w:ascii="宋体" w:hAnsi="宋体"/>
          <w:b/>
          <w:sz w:val="28"/>
          <w:szCs w:val="28"/>
        </w:rPr>
        <w:t>工程量清单</w:t>
      </w:r>
    </w:p>
    <w:tbl>
      <w:tblPr>
        <w:tblW w:w="2068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665"/>
        <w:gridCol w:w="3457"/>
        <w:gridCol w:w="15013"/>
        <w:gridCol w:w="899"/>
        <w:gridCol w:w="6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trHeight w:val="56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违停抓拍摄像机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1、像素不低于400万枪球一体机,内置镜头≥2个，可输出≥1路全景视频和≥1路细节视频，其中全景路内置≥1个镜头，细节路内置≥1个镜头，≥2个靶面尺寸不低于1/1.8" CMOS传感器，内置≥2个GPU芯片，全景镜头焦距4mm，采用不低于F1.0大光圈；细节镜头最大焦距不低于192mm，支持GB35114安全加密；</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2、白光补光，全景镜头补光距离≥30 m ，细节镜头补光距离≥200 m，细节通道支持车流量、车道平均速度、车头时距、车头间距、车道时间占有率、车道空间占有率等交通数据采集，支持声光警戒；支持抛洒物检测、行人检测、拥堵检测、路障检测、施工检测、交通事故检测；支持人脸人体车辆同时抓拍，人脸人体关联输出，并实现对人脸、人体、车辆结构化属性特征信息提取；可配置多种字符叠加、图片合成模式，并支持违法图片叠加防伪水印；支持违法数据上传FTP服务器、交通终端服务器、中心管理系统平台；</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3、细节通道最低照度彩色≤0.0002 lx，黑白≤0.0001 lx；</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4、设备具有去误报能力，当篮球、小狗、树叶等非人或车辆目标经过检测区域时不会触发报警；</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具备AR标签管理功能，可对监控区域的常规点位、卡口点位、人脸点位、重点道路等进行标签标注，可添加≥500个标签，当设备云台明显抖动、转动、或进行镜头变倍时，标签跟随标定的目标物移动，并在画面中与目标物保持相对静止，选中并将标签置于屏幕中心位置进行显示，可点击视频画面中的标签查看标签内容并对标签关联的摄像机视频进行预览，并可通过点击摄像机预览窗口进行放大窗口操作；</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6、当有停车、逆行、压线、变道、掉头、拥堵、机动车占非机动车道现象被触发时，设备可分别发出不同的语音提示；</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7、全景通道垂直调节范围7~17°；细节通道水平调节范围0~360°，垂直调节范围-20~90°，水平键控速度：0.1°~160°/s速度可设，支持点击全景画面联动特写镜头，手动跟踪运动目标；</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8、设备支持除雾，支持陀螺仪；</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9、支持 H264、H.265或 SVAC 视频编码；</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10、支持≥7路报警输入接口，≥2路报警输出接口，支持≥1路音频输入和≥1路音频输出接口，支持≥256GB SD卡拓展槽；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11、年无故障正常使用时长大于 99.99%；</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12、防护等级不低于IP67，6000V 防雷、防浪涌、防突波，符合GB/T17626.2/3/4/5/6四级标准。</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需提供省部级及以上安全与警用电子产品质量监督检验中心或安全防范报警系统产品质量检验中心出具的检测报告复印件，加盖厂商鲜章。</w:t>
            </w:r>
          </w:p>
        </w:tc>
        <w:tc>
          <w:tcPr>
            <w:tcW w:w="899"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台</w:t>
            </w:r>
          </w:p>
        </w:tc>
        <w:tc>
          <w:tcPr>
            <w:tcW w:w="652" w:type="dxa"/>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51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4路终端服务器</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1、嵌入式Linux架构，单核处理器；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2、全机身全铝金属散热，内部无风扇，适合室外使用；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3、操作界面：支持WEB方式；</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4、视频输入：可接4路高清视频流及图片流；</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5、硬盘存储：内置1个SATA接口硬盘，存储空间不低于4TB；（删除）</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6、网络接口：配置4个100M以太网接口，1个100/1000M自适应以太网接口或可转为光模块接口；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7、其他接口：具有报警输入，报警输出，RS232接口，RS485接口，USB等常用接口；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8、视频格式编码：H.264、MPEG4；</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9、图片格式：JPEG；</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10、图片合成：违章图片合成，图片断网续传 ；</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11、数据防删改功能：录像、图片无法直接删除；</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12、工作环境温度：-20℃-70℃；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13、工作环境湿度：10%~90%（无冷凝）。</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监控级硬盘</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8T 监控级 SATA3 3.5寸。</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高清摄像机电源</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国标适配器，AC24V/2.2A。</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球机安装支架</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可调式支架，最大承重20kg。</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通信接入（带宽40Mb）</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jc w:val="left"/>
              <w:rPr>
                <w:rFonts w:hint="eastAsia" w:ascii="宋体" w:hAnsi="宋体" w:eastAsia="宋体" w:cs="宋体"/>
                <w:i w:val="0"/>
                <w:color w:val="FF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光纤终端盒</w:t>
            </w:r>
          </w:p>
        </w:tc>
        <w:tc>
          <w:tcPr>
            <w:tcW w:w="0" w:type="auto"/>
            <w:tcBorders>
              <w:top w:val="nil"/>
              <w:left w:val="nil"/>
              <w:bottom w:val="nil"/>
              <w:right w:val="nil"/>
            </w:tcBorders>
            <w:shd w:val="clear"/>
            <w:noWrap/>
            <w:tcMar>
              <w:top w:w="15" w:type="dxa"/>
              <w:left w:w="15" w:type="dxa"/>
              <w:right w:w="15" w:type="dxa"/>
            </w:tcMar>
            <w:vAlign w:val="center"/>
          </w:tcPr>
          <w:p>
            <w:pPr>
              <w:keepNext w:val="0"/>
              <w:keepLines w:val="0"/>
              <w:widowControl/>
              <w:suppressLineNumbers w:val="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1、光纤融结盒，8芯融结盒。</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抱杆机箱</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箱体材质采用镀锌钢板，箱体厚度≥1.2mm。</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箱体表面要求静电喷塑，箱体具有防水、防尘、通风散热、抗紫外线（防老化）、防盗、防锈、耐酸碱腐蚀等功能；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环境工作温度：-20℃到70℃，工作湿度0~95%RH；防护等级要求≥IP55；</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机箱顶部采用帽檐斜顶方式，箱体预留下进线敲落孔，进线孔须有胶套保护</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箱体颜色统一采用国标色卡GSB05-1426-2001标准样卡的中灰（色号B02），箱体正面和侧面按设计要求贴有警告标志；</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箱体门采用防拆装铰链，门开启角度≥120度，铰链安装于正面左侧，门锁安装于正面右侧。</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接地体施工应符合 GB 50169-2006的规定。</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箱体外门采用机械锁，机械锁采用三角转舌锁，具有防盗防破坏功能。</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配置要求：内含≥1个220V单相电源防雷2路，箱体顶部安装风机1个，安装≥3个铜制接地端子，双路空气开关1个，单路空气开关2个，三芯维护插座1个，含1个顶部风扇，内置1块搁板。</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8~12米长横臂杆的悬臂杆及基础</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含基础开挖、余泥清运、路面恢复，基础砼及砼浇筑、养护、模板，钢筋笼埋设,包管道及其配件（黄色不锈钢遮水帽）等，具体参数见大样图。</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禁停标志</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铝合金板1000×1600mm标志，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11</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挂箱工业交换机</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 配置：提供4个千兆电口，2个千兆光口。</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2. 交换容量≥12 Gbps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3. 转发性能≥8.928 Mpps</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4. 支持≥2K MAC地址表</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5. 支持防护等级IP40</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6. 支持无风扇设计</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7. 支持双电源输入</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8. 静电放电抗扰度等级（ESD）满足接触放电6kv，空气放电8kv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9. 网口浪涌等级(Surge)满足6kv</w:t>
            </w:r>
            <w:r>
              <w:rPr>
                <w:rFonts w:hint="eastAsia" w:ascii="宋体" w:hAnsi="宋体" w:eastAsia="宋体" w:cs="宋体"/>
                <w:i w:val="0"/>
                <w:color w:val="000000"/>
                <w:kern w:val="0"/>
                <w:sz w:val="22"/>
                <w:szCs w:val="22"/>
                <w:u w:val="none"/>
                <w:bdr w:val="none" w:color="auto" w:sz="0" w:space="0"/>
                <w:lang w:val="en-US" w:eastAsia="zh-CN" w:bidi="ar"/>
              </w:rPr>
              <w:br w:type="textWrapping"/>
            </w:r>
            <w:r>
              <w:rPr>
                <w:rFonts w:hint="eastAsia" w:ascii="宋体" w:hAnsi="宋体" w:eastAsia="宋体" w:cs="宋体"/>
                <w:i w:val="0"/>
                <w:color w:val="000000"/>
                <w:kern w:val="0"/>
                <w:sz w:val="22"/>
                <w:szCs w:val="22"/>
                <w:u w:val="none"/>
                <w:bdr w:val="none" w:color="auto" w:sz="0" w:space="0"/>
                <w:lang w:val="en-US" w:eastAsia="zh-CN" w:bidi="ar"/>
              </w:rPr>
              <w:t>10.支持-40℃到+75℃工作环境温度。</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12</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网线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屏蔽网线,STP/Y 4*2*0.5,黑。</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13</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单模光纤</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4芯室外单模光纤。</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14</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电源线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电源线,RVV3*1.5.</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15</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取电电源线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RVV3*4。</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16</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接地线</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BVR1×6.0。</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17</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接地体</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杆件或机箱专业接地，接地极、50×50镀锌角铁、40×5扁钢，含焊接，电阻小于4欧姆。</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18</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配套附件</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含尾纤、网络跳线、水晶头、工具等完成此项所需的所有辅材。</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19</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施工调试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含辅材、吊车、安装登高车等。</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bdr w:val="none" w:color="auto" w:sz="0" w:space="0"/>
                <w:lang w:val="en-US" w:eastAsia="zh-CN" w:bidi="ar"/>
              </w:rPr>
              <w:t>20</w:t>
            </w:r>
          </w:p>
        </w:tc>
        <w:tc>
          <w:tcPr>
            <w:tcW w:w="3458"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系统调试</w:t>
            </w:r>
          </w:p>
        </w:tc>
        <w:tc>
          <w:tcPr>
            <w:tcW w:w="15017" w:type="dxa"/>
            <w:tcBorders>
              <w:top w:val="single" w:color="000000" w:sz="4" w:space="0"/>
              <w:left w:val="single" w:color="000000" w:sz="4" w:space="0"/>
              <w:bottom w:val="single" w:color="000000" w:sz="4" w:space="0"/>
              <w:right w:val="single" w:color="000000" w:sz="4" w:space="0"/>
            </w:tcBorders>
            <w:shd w:val="clear"/>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电子设备接入调试</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项</w:t>
            </w:r>
          </w:p>
        </w:tc>
        <w:tc>
          <w:tcPr>
            <w:tcW w:w="0" w:type="auto"/>
            <w:tcBorders>
              <w:top w:val="single" w:color="000000" w:sz="4" w:space="0"/>
              <w:left w:val="single" w:color="000000" w:sz="4" w:space="0"/>
              <w:bottom w:val="single" w:color="000000" w:sz="4" w:space="0"/>
              <w:right w:val="single" w:color="000000" w:sz="4" w:space="0"/>
            </w:tcBorders>
            <w:shd w:val="clear"/>
            <w:noWrap/>
            <w:tcMar>
              <w:top w:w="15" w:type="dxa"/>
              <w:left w:w="15" w:type="dxa"/>
              <w:right w:w="15"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bdr w:val="none" w:color="auto" w:sz="0" w:space="0"/>
                <w:lang w:val="en-US" w:eastAsia="zh-CN" w:bidi="ar"/>
              </w:rPr>
              <w:t>1</w:t>
            </w:r>
          </w:p>
        </w:tc>
      </w:tr>
    </w:tbl>
    <w:p>
      <w:pPr>
        <w:spacing w:line="180" w:lineRule="auto"/>
        <w:ind w:left="482" w:hanging="480" w:hangingChars="200"/>
        <w:jc w:val="left"/>
        <w:rPr>
          <w:rFonts w:ascii="宋体" w:hAnsi="宋体"/>
          <w:b/>
          <w:sz w:val="24"/>
        </w:rPr>
      </w:pPr>
    </w:p>
    <w:p>
      <w:pPr>
        <w:spacing w:line="180" w:lineRule="auto"/>
        <w:ind w:left="482" w:hanging="480" w:hangingChars="200"/>
        <w:jc w:val="left"/>
        <w:rPr>
          <w:rFonts w:ascii="宋体" w:hAnsi="宋体"/>
          <w:b/>
          <w:sz w:val="24"/>
        </w:rPr>
      </w:pPr>
      <w:r>
        <w:rPr>
          <w:rFonts w:hint="eastAsia" w:ascii="宋体" w:hAnsi="宋体"/>
          <w:b/>
          <w:sz w:val="24"/>
        </w:rPr>
        <w:t>注：</w:t>
      </w:r>
    </w:p>
    <w:p>
      <w:pPr>
        <w:pStyle w:val="8"/>
        <w:jc w:val="left"/>
      </w:pPr>
      <w:r>
        <w:rPr>
          <w:rFonts w:hint="eastAsia"/>
        </w:rPr>
        <w:t>（1）信号灯、电子警察等电子设施应就近接入附近变电箱及网络通讯光交点，控制箱至附近变电箱及光交点的线缆、管道开挖、车道恢复工程量据实结算。</w:t>
      </w:r>
    </w:p>
    <w:p>
      <w:pPr>
        <w:pStyle w:val="8"/>
        <w:jc w:val="left"/>
      </w:pPr>
      <w:r>
        <w:rPr>
          <w:rFonts w:hint="eastAsia"/>
        </w:rPr>
        <w:t>（2）工程建设完成至工程移交管理部门期间，考虑违法拖车、设施维护工程车等运营维护费用（若需），暂按2年运营维护费用计费。</w:t>
      </w:r>
    </w:p>
    <w:p>
      <w:pPr>
        <w:pStyle w:val="8"/>
        <w:jc w:val="left"/>
      </w:pPr>
      <w:r>
        <w:rPr>
          <w:rFonts w:hint="eastAsia"/>
        </w:rPr>
        <w:t>（3）网络运营商光纤通讯租赁费用暂按2年考虑。</w:t>
      </w:r>
    </w:p>
    <w:p>
      <w:pPr>
        <w:pStyle w:val="8"/>
        <w:jc w:val="left"/>
      </w:pPr>
      <w:r>
        <w:rPr>
          <w:rFonts w:hint="eastAsia"/>
        </w:rPr>
        <w:t>（4）工程建设施工方在交通设施新建时，应注意尽量避开地下管线，若确实不能避让且需要迁改现状地下管线时，应征得与业主、交管部门、设计方以及受影响管网单位同意后方可施工，此部分未计入本次交通工程的工程量中。</w:t>
      </w:r>
    </w:p>
    <w:p>
      <w:pPr>
        <w:pStyle w:val="39"/>
        <w:tabs>
          <w:tab w:val="left" w:pos="840"/>
        </w:tabs>
        <w:spacing w:line="360" w:lineRule="auto"/>
        <w:ind w:firstLine="0" w:firstLineChars="0"/>
        <w:jc w:val="center"/>
      </w:pPr>
    </w:p>
    <w:sectPr>
      <w:type w:val="continuous"/>
      <w:pgSz w:w="23814" w:h="16839" w:orient="landscape"/>
      <w:pgMar w:top="1797" w:right="839" w:bottom="1797" w:left="2041" w:header="612" w:footer="850"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Courier New">
    <w:panose1 w:val="02070309020205020404"/>
    <w:charset w:val="00"/>
    <w:family w:val="modern"/>
    <w:pitch w:val="default"/>
    <w:sig w:usb0="E0002AFF" w:usb1="C0007843" w:usb2="00000009" w:usb3="00000000" w:csb0="400001FF" w:csb1="FFFF0000"/>
  </w:font>
  <w:font w:name="仿宋_GB2312">
    <w:panose1 w:val="02010609030101010101"/>
    <w:charset w:val="86"/>
    <w:family w:val="modern"/>
    <w:pitch w:val="default"/>
    <w:sig w:usb0="00000001" w:usb1="080E0000" w:usb2="00000000" w:usb3="00000000" w:csb0="00040000" w:csb1="00000000"/>
  </w:font>
  <w:font w:name="Arial">
    <w:panose1 w:val="020B0604020202020204"/>
    <w:charset w:val="00"/>
    <w:family w:val="swiss"/>
    <w:pitch w:val="default"/>
    <w:sig w:usb0="E0002AFF" w:usb1="C0007843" w:usb2="00000009" w:usb3="00000000" w:csb0="400001FF" w:csb1="FFFF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
    <w:panose1 w:val="02010609060101010101"/>
    <w:charset w:val="86"/>
    <w:family w:val="modern"/>
    <w:pitch w:val="default"/>
    <w:sig w:usb0="800002BF" w:usb1="38CF7CFA" w:usb2="00000016" w:usb3="00000000" w:csb0="00040001" w:csb1="00000000"/>
  </w:font>
  <w:font w:name="PMingLiU">
    <w:panose1 w:val="02020500000000000000"/>
    <w:charset w:val="88"/>
    <w:family w:val="auto"/>
    <w:pitch w:val="default"/>
    <w:sig w:usb0="A00002FF" w:usb1="28CFFCFA" w:usb2="00000016" w:usb3="00000000" w:csb0="00100001" w:csb1="00000000"/>
  </w:font>
  <w:font w:name="Gulim">
    <w:panose1 w:val="020B0600000101010101"/>
    <w:charset w:val="81"/>
    <w:family w:val="auto"/>
    <w:pitch w:val="default"/>
    <w:sig w:usb0="B00002AF" w:usb1="69D77CFB" w:usb2="00000030" w:usb3="00000000" w:csb0="4008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pict>
        <v:shape id="WordPictureWatermark12631792" o:spid="_x0000_s3089" o:spt="75" type="#_x0000_t75" style="position:absolute;left:0pt;margin-left:-100.7pt;margin-top:-89.85pt;height:842.05pt;width:1191pt;mso-position-horizontal-relative:margin;mso-position-vertical-relative:margin;z-index:-251654144;mso-width-relative:page;mso-height-relative:page;" filled="f" o:preferrelative="t" stroked="f" coordsize="21600,21600" o:allowincell="f">
          <v:path/>
          <v:fill on="f" focussize="0,0"/>
          <v:stroke on="f" joinstyle="miter"/>
          <v:imagedata r:id="rId1" o:title="S-T-00 图纸目录 Model (1)"/>
          <o:lock v:ext="edit" aspectratio="t"/>
        </v:shape>
      </w:pict>
    </w:r>
    <w:r>
      <mc:AlternateContent>
        <mc:Choice Requires="wps">
          <w:drawing>
            <wp:anchor distT="45720" distB="45720" distL="114300" distR="114300" simplePos="0" relativeHeight="251658240" behindDoc="0" locked="0" layoutInCell="1" allowOverlap="1">
              <wp:simplePos x="0" y="0"/>
              <wp:positionH relativeFrom="column">
                <wp:posOffset>12103735</wp:posOffset>
              </wp:positionH>
              <wp:positionV relativeFrom="paragraph">
                <wp:posOffset>-56515</wp:posOffset>
              </wp:positionV>
              <wp:extent cx="623570" cy="297180"/>
              <wp:effectExtent l="0" t="0" r="0" b="7620"/>
              <wp:wrapSquare wrapText="bothSides"/>
              <wp:docPr id="12" name="文本框 2"/>
              <wp:cNvGraphicFramePr/>
              <a:graphic xmlns:a="http://schemas.openxmlformats.org/drawingml/2006/main">
                <a:graphicData uri="http://schemas.microsoft.com/office/word/2010/wordprocessingShape">
                  <wps:wsp>
                    <wps:cNvSpPr txBox="1"/>
                    <wps:spPr>
                      <a:xfrm>
                        <a:off x="0" y="0"/>
                        <a:ext cx="623570" cy="297180"/>
                      </a:xfrm>
                      <a:prstGeom prst="rect">
                        <a:avLst/>
                      </a:prstGeom>
                      <a:noFill/>
                      <a:ln>
                        <a:noFill/>
                      </a:ln>
                    </wps:spPr>
                    <wps:txbx>
                      <w:txbxContent>
                        <w:p>
                          <w:pPr>
                            <w:jc w:val="center"/>
                            <w:rPr>
                              <w:bCs/>
                              <w:sz w:val="20"/>
                              <w:szCs w:val="20"/>
                            </w:rPr>
                          </w:pPr>
                          <w:r>
                            <w:rPr>
                              <w:bCs/>
                              <w:sz w:val="20"/>
                              <w:szCs w:val="20"/>
                            </w:rPr>
                            <w:fldChar w:fldCharType="begin"/>
                          </w:r>
                          <w:r>
                            <w:rPr>
                              <w:bCs/>
                              <w:sz w:val="20"/>
                              <w:szCs w:val="20"/>
                            </w:rPr>
                            <w:instrText xml:space="preserve">PAGE   \* MERGEFORMAT</w:instrText>
                          </w:r>
                          <w:r>
                            <w:rPr>
                              <w:bCs/>
                              <w:sz w:val="20"/>
                              <w:szCs w:val="20"/>
                            </w:rPr>
                            <w:fldChar w:fldCharType="separate"/>
                          </w:r>
                          <w:r>
                            <w:rPr>
                              <w:bCs/>
                              <w:sz w:val="20"/>
                              <w:szCs w:val="20"/>
                              <w:lang w:val="zh-CN"/>
                            </w:rPr>
                            <w:t>1</w:t>
                          </w:r>
                          <w:r>
                            <w:rPr>
                              <w:bCs/>
                              <w:sz w:val="20"/>
                              <w:szCs w:val="20"/>
                            </w:rPr>
                            <w:fldChar w:fldCharType="end"/>
                          </w:r>
                        </w:p>
                      </w:txbxContent>
                    </wps:txbx>
                    <wps:bodyPr wrap="square" upright="1"/>
                  </wps:wsp>
                </a:graphicData>
              </a:graphic>
            </wp:anchor>
          </w:drawing>
        </mc:Choice>
        <mc:Fallback>
          <w:pict>
            <v:shape id="文本框 2" o:spid="_x0000_s1026" o:spt="202" type="#_x0000_t202" style="position:absolute;left:0pt;margin-left:953.05pt;margin-top:-4.45pt;height:23.4pt;width:49.1pt;mso-wrap-distance-bottom:3.6pt;mso-wrap-distance-left:9pt;mso-wrap-distance-right:9pt;mso-wrap-distance-top:3.6pt;z-index:251658240;mso-width-relative:page;mso-height-relative:page;" filled="f" stroked="f" coordsize="21600,21600" o:gfxdata="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AKsOPw1wAAAAsBAAAPAAAAAAAAAAEAIAAA&#10;ACIAAABkcnMvZG93bnJldi54bWxQSwECFAAUAAAACACHTuJAAimbk5sBAAAOAwAADgAAAAAAAAAB&#10;ACAAAAAmAQAAZHJzL2Uyb0RvYy54bWxQSwUGAAAAAAYABgBZAQAAMwUAAAAA&#10;">
              <v:fill on="f" focussize="0,0"/>
              <v:stroke on="f"/>
              <v:imagedata o:title=""/>
              <o:lock v:ext="edit" aspectratio="f"/>
              <v:textbox>
                <w:txbxContent>
                  <w:p>
                    <w:pPr>
                      <w:jc w:val="center"/>
                      <w:rPr>
                        <w:bCs/>
                        <w:sz w:val="20"/>
                        <w:szCs w:val="20"/>
                      </w:rPr>
                    </w:pPr>
                    <w:r>
                      <w:rPr>
                        <w:bCs/>
                        <w:sz w:val="20"/>
                        <w:szCs w:val="20"/>
                      </w:rPr>
                      <w:fldChar w:fldCharType="begin"/>
                    </w:r>
                    <w:r>
                      <w:rPr>
                        <w:bCs/>
                        <w:sz w:val="20"/>
                        <w:szCs w:val="20"/>
                      </w:rPr>
                      <w:instrText xml:space="preserve">PAGE   \* MERGEFORMAT</w:instrText>
                    </w:r>
                    <w:r>
                      <w:rPr>
                        <w:bCs/>
                        <w:sz w:val="20"/>
                        <w:szCs w:val="20"/>
                      </w:rPr>
                      <w:fldChar w:fldCharType="separate"/>
                    </w:r>
                    <w:r>
                      <w:rPr>
                        <w:bCs/>
                        <w:sz w:val="20"/>
                        <w:szCs w:val="20"/>
                        <w:lang w:val="zh-CN"/>
                      </w:rPr>
                      <w:t>1</w:t>
                    </w:r>
                    <w:r>
                      <w:rPr>
                        <w:bCs/>
                        <w:sz w:val="20"/>
                        <w:szCs w:val="20"/>
                      </w:rPr>
                      <w:fldChar w:fldCharType="end"/>
                    </w:r>
                  </w:p>
                </w:txbxContent>
              </v:textbox>
              <w10:wrap type="square"/>
            </v:shape>
          </w:pict>
        </mc:Fallback>
      </mc:AlternateContent>
    </w:r>
    <w:r>
      <w:drawing>
        <wp:anchor distT="0" distB="0" distL="114300" distR="114300" simplePos="0" relativeHeight="251655168" behindDoc="1" locked="0" layoutInCell="1" allowOverlap="1">
          <wp:simplePos x="0" y="0"/>
          <wp:positionH relativeFrom="column">
            <wp:posOffset>14899005</wp:posOffset>
          </wp:positionH>
          <wp:positionV relativeFrom="paragraph">
            <wp:posOffset>-45720</wp:posOffset>
          </wp:positionV>
          <wp:extent cx="13864590" cy="10153650"/>
          <wp:effectExtent l="19050" t="0" r="3869" b="0"/>
          <wp:wrapNone/>
          <wp:docPr id="1793358505" name="图片 9" descr="C:\Users\Administrator\Desktop\S-T-00 图纸目录 Mode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58505" name="图片 9" descr="C:\Users\Administrator\Desktop\S-T-00 图纸目录 Model (1).png"/>
                  <pic:cNvPicPr>
                    <a:picLocks noChangeAspect="1" noChangeArrowheads="1"/>
                  </pic:cNvPicPr>
                </pic:nvPicPr>
                <pic:blipFill>
                  <a:blip r:embed="rId2"/>
                  <a:srcRect/>
                  <a:stretch>
                    <a:fillRect/>
                  </a:stretch>
                </pic:blipFill>
                <pic:spPr>
                  <a:xfrm>
                    <a:off x="0" y="0"/>
                    <a:ext cx="13864531" cy="10154093"/>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pPr>
    <w:r>
      <w:pict>
        <v:shape id="WordPictureWatermark12631791" o:spid="_x0000_s3088" o:spt="75" type="#_x0000_t75" style="position:absolute;left:0pt;height:842.05pt;width:1191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1" o:title="S-T-00 图纸目录 Model (1)"/>
          <o:lock v:ext="edit" aspectratio="t"/>
        </v:shape>
      </w:pict>
    </w:r>
    <w:r>
      <w:drawing>
        <wp:anchor distT="0" distB="0" distL="114300" distR="114300" simplePos="0" relativeHeight="251654144" behindDoc="1" locked="0" layoutInCell="0" allowOverlap="1">
          <wp:simplePos x="0" y="0"/>
          <wp:positionH relativeFrom="margin">
            <wp:align>center</wp:align>
          </wp:positionH>
          <wp:positionV relativeFrom="margin">
            <wp:align>center</wp:align>
          </wp:positionV>
          <wp:extent cx="15126970" cy="10692765"/>
          <wp:effectExtent l="0" t="0" r="17780" b="13335"/>
          <wp:wrapNone/>
          <wp:docPr id="1865222496" name="WordPictureWatermark3243027" descr="00 图纸目录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222496" name="WordPictureWatermark3243027" descr="00 图纸目录 Model (1)"/>
                  <pic:cNvPicPr>
                    <a:picLocks noChangeAspect="1"/>
                  </pic:cNvPicPr>
                </pic:nvPicPr>
                <pic:blipFill>
                  <a:blip r:embed="rId2"/>
                  <a:stretch>
                    <a:fillRect/>
                  </a:stretch>
                </pic:blipFill>
                <pic:spPr>
                  <a:xfrm>
                    <a:off x="0" y="0"/>
                    <a:ext cx="15126970" cy="1069276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pict>
        <v:shape id="WordPictureWatermark12631790" o:spid="_x0000_s3087" o:spt="75" type="#_x0000_t75" style="position:absolute;left:0pt;height:842.05pt;width:1191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o:title="S-T-00 图纸目录 Model (1)"/>
          <o:lock v:ext="edit" aspectratio="t"/>
        </v:shape>
      </w:pict>
    </w:r>
    <w:r>
      <w:drawing>
        <wp:anchor distT="0" distB="0" distL="114300" distR="114300" simplePos="0" relativeHeight="251653120" behindDoc="1" locked="0" layoutInCell="0" allowOverlap="1">
          <wp:simplePos x="0" y="0"/>
          <wp:positionH relativeFrom="margin">
            <wp:align>center</wp:align>
          </wp:positionH>
          <wp:positionV relativeFrom="margin">
            <wp:align>center</wp:align>
          </wp:positionV>
          <wp:extent cx="15126970" cy="10692765"/>
          <wp:effectExtent l="0" t="0" r="17780" b="13335"/>
          <wp:wrapNone/>
          <wp:docPr id="1373017602" name="WordPictureWatermark3243026" descr="00 图纸目录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17602" name="WordPictureWatermark3243026" descr="00 图纸目录 Model (1)"/>
                  <pic:cNvPicPr>
                    <a:picLocks noChangeAspect="1"/>
                  </pic:cNvPicPr>
                </pic:nvPicPr>
                <pic:blipFill>
                  <a:blip r:embed="rId2"/>
                  <a:stretch>
                    <a:fillRect/>
                  </a:stretch>
                </pic:blipFill>
                <pic:spPr>
                  <a:xfrm>
                    <a:off x="0" y="0"/>
                    <a:ext cx="15126970" cy="10692765"/>
                  </a:xfrm>
                  <a:prstGeom prst="rect">
                    <a:avLst/>
                  </a:prstGeom>
                  <a:noFill/>
                  <a:ln>
                    <a:noFill/>
                  </a:ln>
                </pic:spPr>
              </pic:pic>
            </a:graphicData>
          </a:graphic>
        </wp:anchor>
      </w:drawing>
    </w:r>
    <w:r>
      <mc:AlternateContent>
        <mc:Choice Requires="wps">
          <w:drawing>
            <wp:anchor distT="45720" distB="45720" distL="114300" distR="114300" simplePos="0" relativeHeight="251657216" behindDoc="0" locked="0" layoutInCell="1" allowOverlap="1">
              <wp:simplePos x="0" y="0"/>
              <wp:positionH relativeFrom="column">
                <wp:posOffset>12007215</wp:posOffset>
              </wp:positionH>
              <wp:positionV relativeFrom="paragraph">
                <wp:posOffset>-18415</wp:posOffset>
              </wp:positionV>
              <wp:extent cx="658495" cy="235585"/>
              <wp:effectExtent l="0" t="0" r="0" b="0"/>
              <wp:wrapSquare wrapText="bothSides"/>
              <wp:docPr id="11" name="文本框 2"/>
              <wp:cNvGraphicFramePr/>
              <a:graphic xmlns:a="http://schemas.openxmlformats.org/drawingml/2006/main">
                <a:graphicData uri="http://schemas.microsoft.com/office/word/2010/wordprocessingShape">
                  <wps:wsp>
                    <wps:cNvSpPr txBox="1"/>
                    <wps:spPr>
                      <a:xfrm>
                        <a:off x="0" y="0"/>
                        <a:ext cx="658495" cy="235585"/>
                      </a:xfrm>
                      <a:prstGeom prst="rect">
                        <a:avLst/>
                      </a:prstGeom>
                      <a:noFill/>
                      <a:ln>
                        <a:noFill/>
                      </a:ln>
                    </wps:spPr>
                    <wps:txbx>
                      <w:txbxContent>
                        <w:p>
                          <w:pPr>
                            <w:jc w:val="center"/>
                            <w:rPr>
                              <w:rFonts w:ascii="仿宋" w:hAnsi="仿宋" w:eastAsia="仿宋"/>
                              <w:b/>
                              <w:bCs/>
                            </w:rPr>
                          </w:pPr>
                          <w:r>
                            <w:rPr>
                              <w:rFonts w:ascii="仿宋" w:hAnsi="仿宋" w:eastAsia="仿宋"/>
                              <w:b/>
                              <w:bCs/>
                            </w:rPr>
                            <w:fldChar w:fldCharType="begin"/>
                          </w:r>
                          <w:r>
                            <w:rPr>
                              <w:rFonts w:ascii="仿宋" w:hAnsi="仿宋" w:eastAsia="仿宋"/>
                              <w:b/>
                              <w:bCs/>
                            </w:rPr>
                            <w:instrText xml:space="preserve">PAGE   \* MERGEFORMAT</w:instrText>
                          </w:r>
                          <w:r>
                            <w:rPr>
                              <w:rFonts w:ascii="仿宋" w:hAnsi="仿宋" w:eastAsia="仿宋"/>
                              <w:b/>
                              <w:bCs/>
                            </w:rPr>
                            <w:fldChar w:fldCharType="separate"/>
                          </w:r>
                          <w:r>
                            <w:rPr>
                              <w:rFonts w:ascii="仿宋" w:hAnsi="仿宋" w:eastAsia="仿宋"/>
                              <w:b/>
                              <w:bCs/>
                              <w:lang w:val="zh-CN"/>
                            </w:rPr>
                            <w:t>4</w:t>
                          </w:r>
                          <w:r>
                            <w:rPr>
                              <w:rFonts w:ascii="仿宋" w:hAnsi="仿宋" w:eastAsia="仿宋"/>
                              <w:b/>
                              <w:bCs/>
                            </w:rPr>
                            <w:fldChar w:fldCharType="end"/>
                          </w:r>
                        </w:p>
                      </w:txbxContent>
                    </wps:txbx>
                    <wps:bodyPr wrap="square" upright="1"/>
                  </wps:wsp>
                </a:graphicData>
              </a:graphic>
            </wp:anchor>
          </w:drawing>
        </mc:Choice>
        <mc:Fallback>
          <w:pict>
            <v:shape id="文本框 2" o:spid="_x0000_s1026" o:spt="202" type="#_x0000_t202" style="position:absolute;left:0pt;margin-left:945.45pt;margin-top:-1.45pt;height:18.55pt;width:51.85pt;mso-wrap-distance-bottom:3.6pt;mso-wrap-distance-left:9pt;mso-wrap-distance-right:9pt;mso-wrap-distance-top:3.6pt;z-index:251657216;mso-width-relative:page;mso-height-relative:page;" filled="f" stroked="f" coordsize="21600,21600" o:gfxdata="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CYd1Q51wAAAAsBAAAPAAAAAAAAAAEAIAAA&#10;ACIAAABkcnMvZG93bnJldi54bWxQSwECFAAUAAAACACHTuJAMHXT6ZsBAAAOAwAADgAAAAAAAAAB&#10;ACAAAAAmAQAAZHJzL2Uyb0RvYy54bWxQSwUGAAAAAAYABgBZAQAAMwUAAAAA&#10;">
              <v:fill on="f" focussize="0,0"/>
              <v:stroke on="f"/>
              <v:imagedata o:title=""/>
              <o:lock v:ext="edit" aspectratio="f"/>
              <v:textbox>
                <w:txbxContent>
                  <w:p>
                    <w:pPr>
                      <w:jc w:val="center"/>
                      <w:rPr>
                        <w:rFonts w:ascii="仿宋" w:hAnsi="仿宋" w:eastAsia="仿宋"/>
                        <w:b/>
                        <w:bCs/>
                      </w:rPr>
                    </w:pPr>
                    <w:r>
                      <w:rPr>
                        <w:rFonts w:ascii="仿宋" w:hAnsi="仿宋" w:eastAsia="仿宋"/>
                        <w:b/>
                        <w:bCs/>
                      </w:rPr>
                      <w:fldChar w:fldCharType="begin"/>
                    </w:r>
                    <w:r>
                      <w:rPr>
                        <w:rFonts w:ascii="仿宋" w:hAnsi="仿宋" w:eastAsia="仿宋"/>
                        <w:b/>
                        <w:bCs/>
                      </w:rPr>
                      <w:instrText xml:space="preserve">PAGE   \* MERGEFORMAT</w:instrText>
                    </w:r>
                    <w:r>
                      <w:rPr>
                        <w:rFonts w:ascii="仿宋" w:hAnsi="仿宋" w:eastAsia="仿宋"/>
                        <w:b/>
                        <w:bCs/>
                      </w:rPr>
                      <w:fldChar w:fldCharType="separate"/>
                    </w:r>
                    <w:r>
                      <w:rPr>
                        <w:rFonts w:ascii="仿宋" w:hAnsi="仿宋" w:eastAsia="仿宋"/>
                        <w:b/>
                        <w:bCs/>
                        <w:lang w:val="zh-CN"/>
                      </w:rPr>
                      <w:t>4</w:t>
                    </w:r>
                    <w:r>
                      <w:rPr>
                        <w:rFonts w:ascii="仿宋" w:hAnsi="仿宋" w:eastAsia="仿宋"/>
                        <w:b/>
                        <w:bCs/>
                      </w:rPr>
                      <w:fldChar w:fldCharType="end"/>
                    </w:r>
                  </w:p>
                </w:txbxContent>
              </v:textbox>
              <w10:wrap type="squar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8134178"/>
    </w:sdtPr>
    <w:sdtContent>
      <w:p>
        <w:pPr>
          <w:pStyle w:val="15"/>
          <w:pBdr>
            <w:bottom w:val="none" w:color="auto" w:sz="0" w:space="0"/>
          </w:pBdr>
          <w:ind w:right="720"/>
        </w:pPr>
        <w:r>
          <w:pict>
            <v:shape id="WordPictureWatermark12631795" o:spid="_x0000_s3092" o:spt="75" type="#_x0000_t75" style="position:absolute;left:0pt;margin-left:-105.75pt;margin-top:-90pt;height:842.05pt;width:1191pt;mso-position-horizontal-relative:margin;mso-position-vertical-relative:margin;z-index:-251651072;mso-width-relative:page;mso-height-relative:page;" filled="f" o:preferrelative="t" stroked="f" coordsize="21600,21600" o:allowincell="f">
              <v:path/>
              <v:fill on="f" focussize="0,0"/>
              <v:stroke on="f" joinstyle="miter"/>
              <v:imagedata r:id="rId1" o:title="S-T-00 图纸目录 Model (1)"/>
              <o:lock v:ext="edit" aspectratio="t"/>
            </v:shape>
          </w:pict>
        </w:r>
        <w:r>
          <mc:AlternateContent>
            <mc:Choice Requires="wps">
              <w:drawing>
                <wp:anchor distT="45720" distB="45720" distL="114300" distR="114300" simplePos="0" relativeHeight="251658240" behindDoc="0" locked="0" layoutInCell="1" allowOverlap="1">
                  <wp:simplePos x="0" y="0"/>
                  <wp:positionH relativeFrom="column">
                    <wp:posOffset>12067540</wp:posOffset>
                  </wp:positionH>
                  <wp:positionV relativeFrom="paragraph">
                    <wp:posOffset>-64135</wp:posOffset>
                  </wp:positionV>
                  <wp:extent cx="623570" cy="297180"/>
                  <wp:effectExtent l="0" t="0" r="0" b="7620"/>
                  <wp:wrapSquare wrapText="bothSides"/>
                  <wp:docPr id="10" name="文本框 2"/>
                  <wp:cNvGraphicFramePr/>
                  <a:graphic xmlns:a="http://schemas.openxmlformats.org/drawingml/2006/main">
                    <a:graphicData uri="http://schemas.microsoft.com/office/word/2010/wordprocessingShape">
                      <wps:wsp>
                        <wps:cNvSpPr txBox="1"/>
                        <wps:spPr>
                          <a:xfrm>
                            <a:off x="0" y="0"/>
                            <a:ext cx="623570" cy="297180"/>
                          </a:xfrm>
                          <a:prstGeom prst="rect">
                            <a:avLst/>
                          </a:prstGeom>
                          <a:noFill/>
                          <a:ln>
                            <a:noFill/>
                          </a:ln>
                        </wps:spPr>
                        <wps:txbx>
                          <w:txbxContent>
                            <w:p>
                              <w:pPr>
                                <w:jc w:val="center"/>
                                <w:rPr>
                                  <w:b/>
                                  <w:bCs/>
                                  <w:sz w:val="20"/>
                                  <w:szCs w:val="20"/>
                                </w:rPr>
                              </w:pPr>
                              <w:r>
                                <w:rPr>
                                  <w:b/>
                                  <w:bCs/>
                                  <w:sz w:val="20"/>
                                  <w:szCs w:val="20"/>
                                </w:rPr>
                                <w:fldChar w:fldCharType="begin"/>
                              </w:r>
                              <w:r>
                                <w:rPr>
                                  <w:b/>
                                  <w:bCs/>
                                  <w:sz w:val="20"/>
                                  <w:szCs w:val="20"/>
                                </w:rPr>
                                <w:instrText xml:space="preserve">PAGE   \* MERGEFORMAT</w:instrText>
                              </w:r>
                              <w:r>
                                <w:rPr>
                                  <w:b/>
                                  <w:bCs/>
                                  <w:sz w:val="20"/>
                                  <w:szCs w:val="20"/>
                                </w:rPr>
                                <w:fldChar w:fldCharType="separate"/>
                              </w:r>
                              <w:r>
                                <w:rPr>
                                  <w:b/>
                                  <w:bCs/>
                                  <w:sz w:val="20"/>
                                  <w:szCs w:val="20"/>
                                  <w:lang w:val="zh-CN"/>
                                </w:rPr>
                                <w:t>14</w:t>
                              </w:r>
                              <w:r>
                                <w:rPr>
                                  <w:b/>
                                  <w:bCs/>
                                  <w:sz w:val="20"/>
                                  <w:szCs w:val="20"/>
                                </w:rPr>
                                <w:fldChar w:fldCharType="end"/>
                              </w:r>
                            </w:p>
                          </w:txbxContent>
                        </wps:txbx>
                        <wps:bodyPr wrap="square" upright="1"/>
                      </wps:wsp>
                    </a:graphicData>
                  </a:graphic>
                </wp:anchor>
              </w:drawing>
            </mc:Choice>
            <mc:Fallback>
              <w:pict>
                <v:shape id="文本框 2" o:spid="_x0000_s1026" o:spt="202" type="#_x0000_t202" style="position:absolute;left:0pt;margin-left:950.2pt;margin-top:-5.05pt;height:23.4pt;width:49.1pt;mso-wrap-distance-bottom:3.6pt;mso-wrap-distance-left:9pt;mso-wrap-distance-right:9pt;mso-wrap-distance-top:3.6pt;z-index:251658240;mso-width-relative:page;mso-height-relative:page;" filled="f" stroked="f" coordsize="21600,21600" o:gfxdata="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FArEjPZAAAADAEAAA8AAAAAAAAAAQAg&#10;AAAAIgAAAGRycy9kb3ducmV2LnhtbFBLAQIUABQAAAAIAIdO4kBHTgdrmwEAAA4DAAAOAAAAAAAA&#10;AAEAIAAAACgBAABkcnMvZTJvRG9jLnhtbFBLBQYAAAAABgAGAFkBAAA1BQAAAAA=&#10;">
                  <v:fill on="f" focussize="0,0"/>
                  <v:stroke on="f"/>
                  <v:imagedata o:title=""/>
                  <o:lock v:ext="edit" aspectratio="f"/>
                  <v:textbox>
                    <w:txbxContent>
                      <w:p>
                        <w:pPr>
                          <w:jc w:val="center"/>
                          <w:rPr>
                            <w:b/>
                            <w:bCs/>
                            <w:sz w:val="20"/>
                            <w:szCs w:val="20"/>
                          </w:rPr>
                        </w:pPr>
                        <w:r>
                          <w:rPr>
                            <w:b/>
                            <w:bCs/>
                            <w:sz w:val="20"/>
                            <w:szCs w:val="20"/>
                          </w:rPr>
                          <w:fldChar w:fldCharType="begin"/>
                        </w:r>
                        <w:r>
                          <w:rPr>
                            <w:b/>
                            <w:bCs/>
                            <w:sz w:val="20"/>
                            <w:szCs w:val="20"/>
                          </w:rPr>
                          <w:instrText xml:space="preserve">PAGE   \* MERGEFORMAT</w:instrText>
                        </w:r>
                        <w:r>
                          <w:rPr>
                            <w:b/>
                            <w:bCs/>
                            <w:sz w:val="20"/>
                            <w:szCs w:val="20"/>
                          </w:rPr>
                          <w:fldChar w:fldCharType="separate"/>
                        </w:r>
                        <w:r>
                          <w:rPr>
                            <w:b/>
                            <w:bCs/>
                            <w:sz w:val="20"/>
                            <w:szCs w:val="20"/>
                            <w:lang w:val="zh-CN"/>
                          </w:rPr>
                          <w:t>14</w:t>
                        </w:r>
                        <w:r>
                          <w:rPr>
                            <w:b/>
                            <w:bCs/>
                            <w:sz w:val="20"/>
                            <w:szCs w:val="20"/>
                          </w:rPr>
                          <w:fldChar w:fldCharType="end"/>
                        </w:r>
                      </w:p>
                    </w:txbxContent>
                  </v:textbox>
                  <w10:wrap type="square"/>
                </v:shape>
              </w:pict>
            </mc:Fallback>
          </mc:AlternateContent>
        </w:r>
      </w:p>
    </w:sdtContent>
  </w:sdt>
  <w:p>
    <w:pPr>
      <w:pStyle w:val="15"/>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pPr>
    <w:r>
      <w:pict>
        <v:shape id="WordPictureWatermark12631794" o:spid="_x0000_s3091" o:spt="75" type="#_x0000_t75" style="position:absolute;left:0pt;height:842.05pt;width:1191pt;mso-position-horizontal:center;mso-position-horizontal-relative:margin;mso-position-vertical:center;mso-position-vertical-relative:margin;z-index:-251652096;mso-width-relative:page;mso-height-relative:page;" filled="f" o:preferrelative="t" stroked="f" coordsize="21600,21600" o:allowincell="f">
          <v:path/>
          <v:fill on="f" focussize="0,0"/>
          <v:stroke on="f" joinstyle="miter"/>
          <v:imagedata r:id="rId1" o:title="S-T-00 图纸目录 Model (1)"/>
          <o:lock v:ext="edit" aspectratio="t"/>
        </v:shape>
      </w:pict>
    </w: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15126970" cy="10692765"/>
          <wp:effectExtent l="0" t="0" r="17780" b="13335"/>
          <wp:wrapNone/>
          <wp:docPr id="898826393" name="WordPictureWatermark3243030" descr="00 图纸目录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26393" name="WordPictureWatermark3243030" descr="00 图纸目录 Model (1)"/>
                  <pic:cNvPicPr>
                    <a:picLocks noChangeAspect="1"/>
                  </pic:cNvPicPr>
                </pic:nvPicPr>
                <pic:blipFill>
                  <a:blip r:embed="rId2"/>
                  <a:stretch>
                    <a:fillRect/>
                  </a:stretch>
                </pic:blipFill>
                <pic:spPr>
                  <a:xfrm>
                    <a:off x="0" y="0"/>
                    <a:ext cx="15126970" cy="10692765"/>
                  </a:xfrm>
                  <a:prstGeom prst="rect">
                    <a:avLst/>
                  </a:prstGeom>
                  <a:noFill/>
                  <a:ln>
                    <a:noFill/>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pict>
        <v:shape id="WordPictureWatermark12631793" o:spid="_x0000_s3090" o:spt="75" type="#_x0000_t75" style="position:absolute;left:0pt;height:842.05pt;width:1191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1" o:title="S-T-00 图纸目录 Model (1)"/>
          <o:lock v:ext="edit" aspectratio="t"/>
        </v:shape>
      </w:pict>
    </w:r>
    <w:r>
      <w:drawing>
        <wp:anchor distT="0" distB="0" distL="114300" distR="114300" simplePos="0" relativeHeight="251652096" behindDoc="1" locked="0" layoutInCell="0" allowOverlap="1">
          <wp:simplePos x="0" y="0"/>
          <wp:positionH relativeFrom="margin">
            <wp:align>center</wp:align>
          </wp:positionH>
          <wp:positionV relativeFrom="margin">
            <wp:align>center</wp:align>
          </wp:positionV>
          <wp:extent cx="15126970" cy="10692765"/>
          <wp:effectExtent l="0" t="0" r="17780" b="13335"/>
          <wp:wrapNone/>
          <wp:docPr id="53567303" name="WordPictureWatermark3243029" descr="00 图纸目录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67303" name="WordPictureWatermark3243029" descr="00 图纸目录 Model (1)"/>
                  <pic:cNvPicPr>
                    <a:picLocks noChangeAspect="1"/>
                  </pic:cNvPicPr>
                </pic:nvPicPr>
                <pic:blipFill>
                  <a:blip r:embed="rId2"/>
                  <a:stretch>
                    <a:fillRect/>
                  </a:stretch>
                </pic:blipFill>
                <pic:spPr>
                  <a:xfrm>
                    <a:off x="0" y="0"/>
                    <a:ext cx="15126970" cy="10692765"/>
                  </a:xfrm>
                  <a:prstGeom prst="rect">
                    <a:avLst/>
                  </a:prstGeom>
                  <a:noFill/>
                  <a:ln>
                    <a:noFill/>
                  </a:ln>
                </pic:spPr>
              </pic:pic>
            </a:graphicData>
          </a:graphic>
        </wp:anchor>
      </w:drawing>
    </w:r>
    <w:r>
      <mc:AlternateContent>
        <mc:Choice Requires="wps">
          <w:drawing>
            <wp:anchor distT="45720" distB="45720" distL="114300" distR="114300" simplePos="0" relativeHeight="251656192" behindDoc="0" locked="0" layoutInCell="1" allowOverlap="1">
              <wp:simplePos x="0" y="0"/>
              <wp:positionH relativeFrom="column">
                <wp:posOffset>12007215</wp:posOffset>
              </wp:positionH>
              <wp:positionV relativeFrom="paragraph">
                <wp:posOffset>-18415</wp:posOffset>
              </wp:positionV>
              <wp:extent cx="658495" cy="235585"/>
              <wp:effectExtent l="0" t="0" r="0" b="0"/>
              <wp:wrapSquare wrapText="bothSides"/>
              <wp:docPr id="4" name="文本框 2"/>
              <wp:cNvGraphicFramePr/>
              <a:graphic xmlns:a="http://schemas.openxmlformats.org/drawingml/2006/main">
                <a:graphicData uri="http://schemas.microsoft.com/office/word/2010/wordprocessingShape">
                  <wps:wsp>
                    <wps:cNvSpPr txBox="1"/>
                    <wps:spPr>
                      <a:xfrm>
                        <a:off x="0" y="0"/>
                        <a:ext cx="658495" cy="235585"/>
                      </a:xfrm>
                      <a:prstGeom prst="rect">
                        <a:avLst/>
                      </a:prstGeom>
                      <a:noFill/>
                      <a:ln>
                        <a:noFill/>
                      </a:ln>
                    </wps:spPr>
                    <wps:txbx>
                      <w:txbxContent>
                        <w:p>
                          <w:pPr>
                            <w:jc w:val="center"/>
                            <w:rPr>
                              <w:rFonts w:ascii="仿宋" w:hAnsi="仿宋" w:eastAsia="仿宋"/>
                              <w:b/>
                              <w:bCs/>
                            </w:rPr>
                          </w:pPr>
                          <w:r>
                            <w:rPr>
                              <w:rFonts w:ascii="仿宋" w:hAnsi="仿宋" w:eastAsia="仿宋"/>
                              <w:b/>
                              <w:bCs/>
                            </w:rPr>
                            <w:fldChar w:fldCharType="begin"/>
                          </w:r>
                          <w:r>
                            <w:rPr>
                              <w:rFonts w:ascii="仿宋" w:hAnsi="仿宋" w:eastAsia="仿宋"/>
                              <w:b/>
                              <w:bCs/>
                            </w:rPr>
                            <w:instrText xml:space="preserve">PAGE   \* MERGEFORMAT</w:instrText>
                          </w:r>
                          <w:r>
                            <w:rPr>
                              <w:rFonts w:ascii="仿宋" w:hAnsi="仿宋" w:eastAsia="仿宋"/>
                              <w:b/>
                              <w:bCs/>
                            </w:rPr>
                            <w:fldChar w:fldCharType="separate"/>
                          </w:r>
                          <w:r>
                            <w:rPr>
                              <w:rFonts w:ascii="仿宋" w:hAnsi="仿宋" w:eastAsia="仿宋"/>
                              <w:b/>
                              <w:bCs/>
                              <w:lang w:val="zh-CN"/>
                            </w:rPr>
                            <w:t>1</w:t>
                          </w:r>
                          <w:r>
                            <w:rPr>
                              <w:rFonts w:ascii="仿宋" w:hAnsi="仿宋" w:eastAsia="仿宋"/>
                              <w:b/>
                              <w:bCs/>
                            </w:rPr>
                            <w:fldChar w:fldCharType="end"/>
                          </w:r>
                        </w:p>
                      </w:txbxContent>
                    </wps:txbx>
                    <wps:bodyPr wrap="square" upright="1"/>
                  </wps:wsp>
                </a:graphicData>
              </a:graphic>
            </wp:anchor>
          </w:drawing>
        </mc:Choice>
        <mc:Fallback>
          <w:pict>
            <v:shape id="文本框 2" o:spid="_x0000_s1026" o:spt="202" type="#_x0000_t202" style="position:absolute;left:0pt;margin-left:945.45pt;margin-top:-1.45pt;height:18.55pt;width:51.85pt;mso-wrap-distance-bottom:3.6pt;mso-wrap-distance-left:9pt;mso-wrap-distance-right:9pt;mso-wrap-distance-top:3.6pt;z-index:251656192;mso-width-relative:page;mso-height-relative:page;" filled="f" stroked="f" coordsize="21600,21600" o:gfxdata="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">
              <v:fill on="f" focussize="0,0"/>
              <v:stroke on="f"/>
              <v:imagedata o:title=""/>
              <o:lock v:ext="edit" aspectratio="f"/>
              <v:textbox>
                <w:txbxContent>
                  <w:p>
                    <w:pPr>
                      <w:jc w:val="center"/>
                      <w:rPr>
                        <w:rFonts w:ascii="仿宋" w:hAnsi="仿宋" w:eastAsia="仿宋"/>
                        <w:b/>
                        <w:bCs/>
                      </w:rPr>
                    </w:pPr>
                    <w:r>
                      <w:rPr>
                        <w:rFonts w:ascii="仿宋" w:hAnsi="仿宋" w:eastAsia="仿宋"/>
                        <w:b/>
                        <w:bCs/>
                      </w:rPr>
                      <w:fldChar w:fldCharType="begin"/>
                    </w:r>
                    <w:r>
                      <w:rPr>
                        <w:rFonts w:ascii="仿宋" w:hAnsi="仿宋" w:eastAsia="仿宋"/>
                        <w:b/>
                        <w:bCs/>
                      </w:rPr>
                      <w:instrText xml:space="preserve">PAGE   \* MERGEFORMAT</w:instrText>
                    </w:r>
                    <w:r>
                      <w:rPr>
                        <w:rFonts w:ascii="仿宋" w:hAnsi="仿宋" w:eastAsia="仿宋"/>
                        <w:b/>
                        <w:bCs/>
                      </w:rPr>
                      <w:fldChar w:fldCharType="separate"/>
                    </w:r>
                    <w:r>
                      <w:rPr>
                        <w:rFonts w:ascii="仿宋" w:hAnsi="仿宋" w:eastAsia="仿宋"/>
                        <w:b/>
                        <w:bCs/>
                        <w:lang w:val="zh-CN"/>
                      </w:rPr>
                      <w:t>1</w:t>
                    </w:r>
                    <w:r>
                      <w:rPr>
                        <w:rFonts w:ascii="仿宋" w:hAnsi="仿宋" w:eastAsia="仿宋"/>
                        <w:b/>
                        <w:bCs/>
                      </w:rPr>
                      <w:fldChar w:fldCharType="end"/>
                    </w:r>
                  </w:p>
                </w:txbxContent>
              </v:textbox>
              <w10:wrap type="squar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D9378BB"/>
    <w:multiLevelType w:val="multilevel"/>
    <w:tmpl w:val="FD9378BB"/>
    <w:lvl w:ilvl="0" w:tentative="0">
      <w:start w:val="1"/>
      <w:numFmt w:val="bullet"/>
      <w:lvlText w:val=""/>
      <w:lvlJc w:val="left"/>
      <w:pPr>
        <w:tabs>
          <w:tab w:val="left" w:pos="840"/>
        </w:tabs>
        <w:ind w:left="840" w:hanging="420"/>
      </w:pPr>
      <w:rPr>
        <w:rFonts w:hint="default" w:ascii="Wingdings" w:hAnsi="Wingdings" w:cs="Wingdings"/>
        <w:sz w:val="13"/>
      </w:rPr>
    </w:lvl>
    <w:lvl w:ilvl="1" w:tentative="0">
      <w:start w:val="1"/>
      <w:numFmt w:val="bullet"/>
      <w:lvlText w:val=""/>
      <w:lvlJc w:val="left"/>
      <w:pPr>
        <w:tabs>
          <w:tab w:val="left" w:pos="840"/>
        </w:tabs>
        <w:ind w:left="840" w:hanging="420"/>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1">
    <w:nsid w:val="00DF0802"/>
    <w:multiLevelType w:val="multilevel"/>
    <w:tmpl w:val="00DF0802"/>
    <w:lvl w:ilvl="0" w:tentative="0">
      <w:start w:val="1"/>
      <w:numFmt w:val="decimal"/>
      <w:pStyle w:val="38"/>
      <w:lvlText w:val="%1."/>
      <w:lvlJc w:val="left"/>
      <w:pPr>
        <w:tabs>
          <w:tab w:val="left" w:pos="540"/>
        </w:tabs>
        <w:ind w:left="54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447A4657"/>
    <w:multiLevelType w:val="multilevel"/>
    <w:tmpl w:val="447A4657"/>
    <w:lvl w:ilvl="0" w:tentative="0">
      <w:start w:val="1"/>
      <w:numFmt w:val="bullet"/>
      <w:lvlText w:val=""/>
      <w:lvlJc w:val="left"/>
      <w:pPr>
        <w:ind w:left="1140" w:hanging="720"/>
      </w:pPr>
      <w:rPr>
        <w:rFonts w:hint="default" w:ascii="Wingdings" w:hAnsi="Wingdings"/>
        <w:sz w:val="15"/>
        <w:szCs w:val="15"/>
        <w:lang w:val="en-US"/>
      </w:rPr>
    </w:lvl>
    <w:lvl w:ilvl="1" w:tentative="0">
      <w:start w:val="1"/>
      <w:numFmt w:val="lowerLetter"/>
      <w:lvlText w:val="%2)"/>
      <w:lvlJc w:val="left"/>
      <w:pPr>
        <w:ind w:left="1118" w:hanging="420"/>
      </w:pPr>
    </w:lvl>
    <w:lvl w:ilvl="2" w:tentative="0">
      <w:start w:val="1"/>
      <w:numFmt w:val="lowerRoman"/>
      <w:lvlText w:val="%3."/>
      <w:lvlJc w:val="right"/>
      <w:pPr>
        <w:ind w:left="1538" w:hanging="420"/>
      </w:pPr>
    </w:lvl>
    <w:lvl w:ilvl="3" w:tentative="0">
      <w:start w:val="1"/>
      <w:numFmt w:val="decimal"/>
      <w:lvlText w:val="%4."/>
      <w:lvlJc w:val="left"/>
      <w:pPr>
        <w:ind w:left="1958" w:hanging="420"/>
      </w:pPr>
    </w:lvl>
    <w:lvl w:ilvl="4" w:tentative="0">
      <w:start w:val="1"/>
      <w:numFmt w:val="lowerLetter"/>
      <w:lvlText w:val="%5)"/>
      <w:lvlJc w:val="left"/>
      <w:pPr>
        <w:ind w:left="2378" w:hanging="420"/>
      </w:pPr>
    </w:lvl>
    <w:lvl w:ilvl="5" w:tentative="0">
      <w:start w:val="1"/>
      <w:numFmt w:val="lowerRoman"/>
      <w:lvlText w:val="%6."/>
      <w:lvlJc w:val="right"/>
      <w:pPr>
        <w:ind w:left="2798" w:hanging="420"/>
      </w:pPr>
    </w:lvl>
    <w:lvl w:ilvl="6" w:tentative="0">
      <w:start w:val="1"/>
      <w:numFmt w:val="decimal"/>
      <w:lvlText w:val="%7."/>
      <w:lvlJc w:val="left"/>
      <w:pPr>
        <w:ind w:left="3218" w:hanging="420"/>
      </w:pPr>
    </w:lvl>
    <w:lvl w:ilvl="7" w:tentative="0">
      <w:start w:val="1"/>
      <w:numFmt w:val="lowerLetter"/>
      <w:lvlText w:val="%8)"/>
      <w:lvlJc w:val="left"/>
      <w:pPr>
        <w:ind w:left="3638" w:hanging="420"/>
      </w:pPr>
    </w:lvl>
    <w:lvl w:ilvl="8" w:tentative="0">
      <w:start w:val="1"/>
      <w:numFmt w:val="lowerRoman"/>
      <w:lvlText w:val="%9."/>
      <w:lvlJc w:val="right"/>
      <w:pPr>
        <w:ind w:left="4058" w:hanging="420"/>
      </w:pPr>
    </w:lvl>
  </w:abstractNum>
  <w:abstractNum w:abstractNumId="3">
    <w:nsid w:val="55376096"/>
    <w:multiLevelType w:val="multilevel"/>
    <w:tmpl w:val="55376096"/>
    <w:lvl w:ilvl="0" w:tentative="0">
      <w:start w:val="1"/>
      <w:numFmt w:val="decimal"/>
      <w:lvlText w:val="（%1）"/>
      <w:lvlJc w:val="left"/>
      <w:pPr>
        <w:ind w:left="1190" w:hanging="720"/>
      </w:pPr>
      <w:rPr>
        <w:rFonts w:hint="default"/>
      </w:rPr>
    </w:lvl>
    <w:lvl w:ilvl="1" w:tentative="0">
      <w:start w:val="1"/>
      <w:numFmt w:val="lowerLetter"/>
      <w:lvlText w:val="%2)"/>
      <w:lvlJc w:val="left"/>
      <w:pPr>
        <w:ind w:left="1350" w:hanging="440"/>
      </w:pPr>
    </w:lvl>
    <w:lvl w:ilvl="2" w:tentative="0">
      <w:start w:val="1"/>
      <w:numFmt w:val="lowerRoman"/>
      <w:lvlText w:val="%3."/>
      <w:lvlJc w:val="right"/>
      <w:pPr>
        <w:ind w:left="1790" w:hanging="440"/>
      </w:pPr>
    </w:lvl>
    <w:lvl w:ilvl="3" w:tentative="0">
      <w:start w:val="1"/>
      <w:numFmt w:val="decimal"/>
      <w:lvlText w:val="%4."/>
      <w:lvlJc w:val="left"/>
      <w:pPr>
        <w:ind w:left="2230" w:hanging="440"/>
      </w:pPr>
    </w:lvl>
    <w:lvl w:ilvl="4" w:tentative="0">
      <w:start w:val="1"/>
      <w:numFmt w:val="lowerLetter"/>
      <w:lvlText w:val="%5)"/>
      <w:lvlJc w:val="left"/>
      <w:pPr>
        <w:ind w:left="2670" w:hanging="440"/>
      </w:pPr>
    </w:lvl>
    <w:lvl w:ilvl="5" w:tentative="0">
      <w:start w:val="1"/>
      <w:numFmt w:val="lowerRoman"/>
      <w:lvlText w:val="%6."/>
      <w:lvlJc w:val="right"/>
      <w:pPr>
        <w:ind w:left="3110" w:hanging="440"/>
      </w:pPr>
    </w:lvl>
    <w:lvl w:ilvl="6" w:tentative="0">
      <w:start w:val="1"/>
      <w:numFmt w:val="decimal"/>
      <w:lvlText w:val="%7."/>
      <w:lvlJc w:val="left"/>
      <w:pPr>
        <w:ind w:left="3550" w:hanging="440"/>
      </w:pPr>
    </w:lvl>
    <w:lvl w:ilvl="7" w:tentative="0">
      <w:start w:val="1"/>
      <w:numFmt w:val="lowerLetter"/>
      <w:lvlText w:val="%8)"/>
      <w:lvlJc w:val="left"/>
      <w:pPr>
        <w:ind w:left="3990" w:hanging="440"/>
      </w:pPr>
    </w:lvl>
    <w:lvl w:ilvl="8" w:tentative="0">
      <w:start w:val="1"/>
      <w:numFmt w:val="lowerRoman"/>
      <w:lvlText w:val="%9."/>
      <w:lvlJc w:val="right"/>
      <w:pPr>
        <w:ind w:left="4430" w:hanging="440"/>
      </w:pPr>
    </w:lvl>
  </w:abstractNum>
  <w:abstractNum w:abstractNumId="4">
    <w:nsid w:val="67075113"/>
    <w:multiLevelType w:val="multilevel"/>
    <w:tmpl w:val="6707511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70D3D15A"/>
    <w:multiLevelType w:val="multilevel"/>
    <w:tmpl w:val="70D3D15A"/>
    <w:lvl w:ilvl="0" w:tentative="0">
      <w:start w:val="1"/>
      <w:numFmt w:val="bullet"/>
      <w:lvlText w:val=""/>
      <w:lvlJc w:val="left"/>
      <w:pPr>
        <w:ind w:left="900" w:hanging="420"/>
      </w:pPr>
      <w:rPr>
        <w:rFonts w:hint="default" w:ascii="Wingdings" w:hAnsi="Wingdings" w:cs="Wingdings"/>
        <w:b w:val="0"/>
        <w:i w:val="0"/>
        <w:sz w:val="24"/>
      </w:rPr>
    </w:lvl>
    <w:lvl w:ilvl="1" w:tentative="0">
      <w:start w:val="1"/>
      <w:numFmt w:val="bullet"/>
      <w:lvlText w:val=""/>
      <w:lvlJc w:val="left"/>
      <w:pPr>
        <w:ind w:left="1320" w:hanging="420"/>
      </w:pPr>
      <w:rPr>
        <w:rFonts w:hint="default" w:ascii="Wingdings" w:hAnsi="Wingdings" w:cs="Wingdings"/>
      </w:rPr>
    </w:lvl>
    <w:lvl w:ilvl="2" w:tentative="0">
      <w:start w:val="1"/>
      <w:numFmt w:val="bullet"/>
      <w:lvlText w:val=""/>
      <w:lvlJc w:val="left"/>
      <w:pPr>
        <w:ind w:left="1740" w:hanging="420"/>
      </w:pPr>
      <w:rPr>
        <w:rFonts w:hint="default" w:ascii="Wingdings" w:hAnsi="Wingdings" w:cs="Wingdings"/>
      </w:rPr>
    </w:lvl>
    <w:lvl w:ilvl="3" w:tentative="0">
      <w:start w:val="1"/>
      <w:numFmt w:val="bullet"/>
      <w:lvlText w:val=""/>
      <w:lvlJc w:val="left"/>
      <w:pPr>
        <w:ind w:left="2160" w:hanging="420"/>
      </w:pPr>
      <w:rPr>
        <w:rFonts w:hint="default" w:ascii="Wingdings" w:hAnsi="Wingdings" w:cs="Wingdings"/>
      </w:rPr>
    </w:lvl>
    <w:lvl w:ilvl="4" w:tentative="0">
      <w:start w:val="1"/>
      <w:numFmt w:val="bullet"/>
      <w:lvlText w:val=""/>
      <w:lvlJc w:val="left"/>
      <w:pPr>
        <w:ind w:left="2580" w:hanging="420"/>
      </w:pPr>
      <w:rPr>
        <w:rFonts w:hint="default" w:ascii="Wingdings" w:hAnsi="Wingdings" w:cs="Wingdings"/>
      </w:rPr>
    </w:lvl>
    <w:lvl w:ilvl="5" w:tentative="0">
      <w:start w:val="1"/>
      <w:numFmt w:val="bullet"/>
      <w:lvlText w:val=""/>
      <w:lvlJc w:val="left"/>
      <w:pPr>
        <w:ind w:left="3000" w:hanging="420"/>
      </w:pPr>
      <w:rPr>
        <w:rFonts w:hint="default" w:ascii="Wingdings" w:hAnsi="Wingdings" w:cs="Wingdings"/>
      </w:rPr>
    </w:lvl>
    <w:lvl w:ilvl="6" w:tentative="0">
      <w:start w:val="1"/>
      <w:numFmt w:val="bullet"/>
      <w:lvlText w:val=""/>
      <w:lvlJc w:val="left"/>
      <w:pPr>
        <w:ind w:left="3420" w:hanging="420"/>
      </w:pPr>
      <w:rPr>
        <w:rFonts w:hint="default" w:ascii="Wingdings" w:hAnsi="Wingdings" w:cs="Wingdings"/>
      </w:rPr>
    </w:lvl>
    <w:lvl w:ilvl="7" w:tentative="0">
      <w:start w:val="1"/>
      <w:numFmt w:val="bullet"/>
      <w:lvlText w:val=""/>
      <w:lvlJc w:val="left"/>
      <w:pPr>
        <w:ind w:left="3840" w:hanging="420"/>
      </w:pPr>
      <w:rPr>
        <w:rFonts w:hint="default" w:ascii="Wingdings" w:hAnsi="Wingdings" w:cs="Wingdings"/>
      </w:rPr>
    </w:lvl>
    <w:lvl w:ilvl="8" w:tentative="0">
      <w:start w:val="1"/>
      <w:numFmt w:val="bullet"/>
      <w:lvlText w:val=""/>
      <w:lvlJc w:val="left"/>
      <w:pPr>
        <w:ind w:left="4260" w:hanging="420"/>
      </w:pPr>
      <w:rPr>
        <w:rFonts w:hint="default" w:ascii="Wingdings" w:hAnsi="Wingdings" w:cs="Wingdings"/>
      </w:rPr>
    </w:lvl>
  </w:abstractNum>
  <w:abstractNum w:abstractNumId="6">
    <w:nsid w:val="73CA6939"/>
    <w:multiLevelType w:val="multilevel"/>
    <w:tmpl w:val="73CA6939"/>
    <w:lvl w:ilvl="0" w:tentative="0">
      <w:start w:val="1"/>
      <w:numFmt w:val="bullet"/>
      <w:lvlText w:val=""/>
      <w:lvlJc w:val="left"/>
      <w:pPr>
        <w:tabs>
          <w:tab w:val="left" w:pos="840"/>
        </w:tabs>
        <w:ind w:left="840" w:hanging="420"/>
      </w:pPr>
      <w:rPr>
        <w:rFonts w:hint="default" w:ascii="Wingdings" w:hAnsi="Wingdings"/>
        <w:sz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7A207819"/>
    <w:multiLevelType w:val="multilevel"/>
    <w:tmpl w:val="7A207819"/>
    <w:lvl w:ilvl="0" w:tentative="0">
      <w:start w:val="4"/>
      <w:numFmt w:val="decimal"/>
      <w:lvlText w:val="（%1）"/>
      <w:lvlJc w:val="left"/>
      <w:pPr>
        <w:ind w:left="1200" w:hanging="720"/>
      </w:pPr>
      <w:rPr>
        <w:rFonts w:hint="default"/>
      </w:rPr>
    </w:lvl>
    <w:lvl w:ilvl="1" w:tentative="0">
      <w:start w:val="1"/>
      <w:numFmt w:val="decimalEnclosedCircle"/>
      <w:lvlText w:val="%2"/>
      <w:lvlJc w:val="left"/>
      <w:pPr>
        <w:ind w:left="1280" w:hanging="360"/>
      </w:pPr>
      <w:rPr>
        <w:rFonts w:hint="default"/>
      </w:r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8">
    <w:nsid w:val="7C866DDA"/>
    <w:multiLevelType w:val="multilevel"/>
    <w:tmpl w:val="7C866DDA"/>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num w:numId="1">
    <w:abstractNumId w:val="1"/>
  </w:num>
  <w:num w:numId="2">
    <w:abstractNumId w:val="8"/>
  </w:num>
  <w:num w:numId="3">
    <w:abstractNumId w:val="6"/>
  </w:num>
  <w:num w:numId="4">
    <w:abstractNumId w:val="2"/>
  </w:num>
  <w:num w:numId="5">
    <w:abstractNumId w:val="7"/>
  </w:num>
  <w:num w:numId="6">
    <w:abstractNumId w:val="3"/>
  </w:num>
  <w:num w:numId="7">
    <w:abstractNumId w:val="0"/>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U1NDFkMjYyOGFlYzkxOWU5ZjlmYzUxNDQ3MGY1NjAifQ=="/>
  </w:docVars>
  <w:rsids>
    <w:rsidRoot w:val="00172A27"/>
    <w:rsid w:val="000000EE"/>
    <w:rsid w:val="00000ADD"/>
    <w:rsid w:val="000018D6"/>
    <w:rsid w:val="00002981"/>
    <w:rsid w:val="00003F57"/>
    <w:rsid w:val="0000489B"/>
    <w:rsid w:val="000048F0"/>
    <w:rsid w:val="000054C0"/>
    <w:rsid w:val="0000572A"/>
    <w:rsid w:val="00006A59"/>
    <w:rsid w:val="00010193"/>
    <w:rsid w:val="00010845"/>
    <w:rsid w:val="00011937"/>
    <w:rsid w:val="00013A82"/>
    <w:rsid w:val="00013BC5"/>
    <w:rsid w:val="000147E9"/>
    <w:rsid w:val="00015948"/>
    <w:rsid w:val="00015BB7"/>
    <w:rsid w:val="0001635F"/>
    <w:rsid w:val="00016703"/>
    <w:rsid w:val="0001750A"/>
    <w:rsid w:val="000176E4"/>
    <w:rsid w:val="000208AC"/>
    <w:rsid w:val="00020933"/>
    <w:rsid w:val="00021B20"/>
    <w:rsid w:val="00022B58"/>
    <w:rsid w:val="000239A1"/>
    <w:rsid w:val="00025F64"/>
    <w:rsid w:val="00032A89"/>
    <w:rsid w:val="00033135"/>
    <w:rsid w:val="00033171"/>
    <w:rsid w:val="00033F7C"/>
    <w:rsid w:val="00034748"/>
    <w:rsid w:val="00034BBD"/>
    <w:rsid w:val="00034F18"/>
    <w:rsid w:val="00037244"/>
    <w:rsid w:val="000374F1"/>
    <w:rsid w:val="000408DA"/>
    <w:rsid w:val="00040D65"/>
    <w:rsid w:val="00041AB4"/>
    <w:rsid w:val="00041B29"/>
    <w:rsid w:val="00041D3D"/>
    <w:rsid w:val="000437A5"/>
    <w:rsid w:val="000437E9"/>
    <w:rsid w:val="00043D27"/>
    <w:rsid w:val="000453DD"/>
    <w:rsid w:val="000454BA"/>
    <w:rsid w:val="00046738"/>
    <w:rsid w:val="00051057"/>
    <w:rsid w:val="00051C75"/>
    <w:rsid w:val="0005211A"/>
    <w:rsid w:val="0005294F"/>
    <w:rsid w:val="000535FC"/>
    <w:rsid w:val="00053809"/>
    <w:rsid w:val="00053A81"/>
    <w:rsid w:val="00057F7C"/>
    <w:rsid w:val="00062318"/>
    <w:rsid w:val="00062E1B"/>
    <w:rsid w:val="00064D0D"/>
    <w:rsid w:val="00065185"/>
    <w:rsid w:val="00065B2B"/>
    <w:rsid w:val="00065C88"/>
    <w:rsid w:val="000664AB"/>
    <w:rsid w:val="00067C06"/>
    <w:rsid w:val="00070572"/>
    <w:rsid w:val="00073FBE"/>
    <w:rsid w:val="0007450F"/>
    <w:rsid w:val="00074CAE"/>
    <w:rsid w:val="00075A94"/>
    <w:rsid w:val="00075C21"/>
    <w:rsid w:val="0007643B"/>
    <w:rsid w:val="000769E9"/>
    <w:rsid w:val="00076CE8"/>
    <w:rsid w:val="000770F0"/>
    <w:rsid w:val="00077964"/>
    <w:rsid w:val="000802CE"/>
    <w:rsid w:val="00081B2F"/>
    <w:rsid w:val="00082986"/>
    <w:rsid w:val="00083806"/>
    <w:rsid w:val="00084542"/>
    <w:rsid w:val="000845F9"/>
    <w:rsid w:val="000848C6"/>
    <w:rsid w:val="00085097"/>
    <w:rsid w:val="0008683C"/>
    <w:rsid w:val="0009083E"/>
    <w:rsid w:val="00090FFF"/>
    <w:rsid w:val="000927B0"/>
    <w:rsid w:val="00093389"/>
    <w:rsid w:val="00093B53"/>
    <w:rsid w:val="000944F0"/>
    <w:rsid w:val="00094B64"/>
    <w:rsid w:val="00094BBF"/>
    <w:rsid w:val="00095BD7"/>
    <w:rsid w:val="00095C94"/>
    <w:rsid w:val="00096B44"/>
    <w:rsid w:val="00096C86"/>
    <w:rsid w:val="00097627"/>
    <w:rsid w:val="000A0962"/>
    <w:rsid w:val="000A09E3"/>
    <w:rsid w:val="000A1CE5"/>
    <w:rsid w:val="000A2DA0"/>
    <w:rsid w:val="000A3BB9"/>
    <w:rsid w:val="000A4205"/>
    <w:rsid w:val="000A489E"/>
    <w:rsid w:val="000A49DB"/>
    <w:rsid w:val="000A4C03"/>
    <w:rsid w:val="000A5270"/>
    <w:rsid w:val="000A6D05"/>
    <w:rsid w:val="000A6DDB"/>
    <w:rsid w:val="000A7106"/>
    <w:rsid w:val="000A783A"/>
    <w:rsid w:val="000B0364"/>
    <w:rsid w:val="000B0934"/>
    <w:rsid w:val="000B4168"/>
    <w:rsid w:val="000B429C"/>
    <w:rsid w:val="000B4FA3"/>
    <w:rsid w:val="000B571D"/>
    <w:rsid w:val="000B5E23"/>
    <w:rsid w:val="000B5FDD"/>
    <w:rsid w:val="000B6C14"/>
    <w:rsid w:val="000B77E1"/>
    <w:rsid w:val="000C012A"/>
    <w:rsid w:val="000C0A8D"/>
    <w:rsid w:val="000C0B4E"/>
    <w:rsid w:val="000C0FBD"/>
    <w:rsid w:val="000C20ED"/>
    <w:rsid w:val="000C3DDF"/>
    <w:rsid w:val="000C41CA"/>
    <w:rsid w:val="000C463A"/>
    <w:rsid w:val="000C6AEF"/>
    <w:rsid w:val="000C71C1"/>
    <w:rsid w:val="000D0995"/>
    <w:rsid w:val="000D14AF"/>
    <w:rsid w:val="000D1706"/>
    <w:rsid w:val="000D1A07"/>
    <w:rsid w:val="000D1C93"/>
    <w:rsid w:val="000D3611"/>
    <w:rsid w:val="000D70A6"/>
    <w:rsid w:val="000D77DB"/>
    <w:rsid w:val="000D7A3E"/>
    <w:rsid w:val="000D7B02"/>
    <w:rsid w:val="000E059B"/>
    <w:rsid w:val="000E0BC2"/>
    <w:rsid w:val="000E148C"/>
    <w:rsid w:val="000E1502"/>
    <w:rsid w:val="000E1F6A"/>
    <w:rsid w:val="000E2577"/>
    <w:rsid w:val="000E2A10"/>
    <w:rsid w:val="000E5571"/>
    <w:rsid w:val="000E67FC"/>
    <w:rsid w:val="000E6A52"/>
    <w:rsid w:val="000E75F6"/>
    <w:rsid w:val="000F2408"/>
    <w:rsid w:val="000F25AA"/>
    <w:rsid w:val="000F29A0"/>
    <w:rsid w:val="000F2B4E"/>
    <w:rsid w:val="000F2D8F"/>
    <w:rsid w:val="000F3535"/>
    <w:rsid w:val="000F386C"/>
    <w:rsid w:val="000F3F03"/>
    <w:rsid w:val="000F4223"/>
    <w:rsid w:val="000F5590"/>
    <w:rsid w:val="000F6623"/>
    <w:rsid w:val="000F68CE"/>
    <w:rsid w:val="000F6D0E"/>
    <w:rsid w:val="000F7E40"/>
    <w:rsid w:val="00100289"/>
    <w:rsid w:val="00100D15"/>
    <w:rsid w:val="0010248B"/>
    <w:rsid w:val="0010308E"/>
    <w:rsid w:val="0010317C"/>
    <w:rsid w:val="00104D73"/>
    <w:rsid w:val="00105544"/>
    <w:rsid w:val="001055CD"/>
    <w:rsid w:val="00105931"/>
    <w:rsid w:val="00107249"/>
    <w:rsid w:val="0011004F"/>
    <w:rsid w:val="00110CDE"/>
    <w:rsid w:val="00111C08"/>
    <w:rsid w:val="00111CC6"/>
    <w:rsid w:val="00111DFF"/>
    <w:rsid w:val="00112E52"/>
    <w:rsid w:val="00113AAE"/>
    <w:rsid w:val="0011403B"/>
    <w:rsid w:val="00114662"/>
    <w:rsid w:val="00114A14"/>
    <w:rsid w:val="00114A3C"/>
    <w:rsid w:val="00114DDA"/>
    <w:rsid w:val="0011501B"/>
    <w:rsid w:val="001157AA"/>
    <w:rsid w:val="001157B1"/>
    <w:rsid w:val="00115B39"/>
    <w:rsid w:val="00116332"/>
    <w:rsid w:val="0011649B"/>
    <w:rsid w:val="0012084B"/>
    <w:rsid w:val="00121C90"/>
    <w:rsid w:val="00122440"/>
    <w:rsid w:val="00123245"/>
    <w:rsid w:val="00125A97"/>
    <w:rsid w:val="00125EBA"/>
    <w:rsid w:val="00126C1B"/>
    <w:rsid w:val="0013109E"/>
    <w:rsid w:val="0013116B"/>
    <w:rsid w:val="00133107"/>
    <w:rsid w:val="001333A2"/>
    <w:rsid w:val="0013344F"/>
    <w:rsid w:val="00133C71"/>
    <w:rsid w:val="00133D3C"/>
    <w:rsid w:val="00133D79"/>
    <w:rsid w:val="00134036"/>
    <w:rsid w:val="0013410D"/>
    <w:rsid w:val="00134957"/>
    <w:rsid w:val="00135038"/>
    <w:rsid w:val="001358DD"/>
    <w:rsid w:val="00136C1D"/>
    <w:rsid w:val="0013701F"/>
    <w:rsid w:val="001372A5"/>
    <w:rsid w:val="00137C52"/>
    <w:rsid w:val="0014001A"/>
    <w:rsid w:val="001403E3"/>
    <w:rsid w:val="001422E9"/>
    <w:rsid w:val="001423E6"/>
    <w:rsid w:val="00142B19"/>
    <w:rsid w:val="00142F6F"/>
    <w:rsid w:val="00143EE0"/>
    <w:rsid w:val="00144D1A"/>
    <w:rsid w:val="00145F9A"/>
    <w:rsid w:val="001465A7"/>
    <w:rsid w:val="001466D4"/>
    <w:rsid w:val="0014693A"/>
    <w:rsid w:val="0014713C"/>
    <w:rsid w:val="001471E2"/>
    <w:rsid w:val="00147D4F"/>
    <w:rsid w:val="00151EC7"/>
    <w:rsid w:val="00152207"/>
    <w:rsid w:val="00152C46"/>
    <w:rsid w:val="00153A4E"/>
    <w:rsid w:val="0015562C"/>
    <w:rsid w:val="00155941"/>
    <w:rsid w:val="00157D19"/>
    <w:rsid w:val="00161A24"/>
    <w:rsid w:val="00162873"/>
    <w:rsid w:val="00162950"/>
    <w:rsid w:val="0016342C"/>
    <w:rsid w:val="0016371D"/>
    <w:rsid w:val="00163C73"/>
    <w:rsid w:val="00164C3D"/>
    <w:rsid w:val="00164EEB"/>
    <w:rsid w:val="00166405"/>
    <w:rsid w:val="00167070"/>
    <w:rsid w:val="00167383"/>
    <w:rsid w:val="00167995"/>
    <w:rsid w:val="00170E17"/>
    <w:rsid w:val="00170F7A"/>
    <w:rsid w:val="0017197B"/>
    <w:rsid w:val="00172A27"/>
    <w:rsid w:val="00173858"/>
    <w:rsid w:val="0017389A"/>
    <w:rsid w:val="00174390"/>
    <w:rsid w:val="00174910"/>
    <w:rsid w:val="00175026"/>
    <w:rsid w:val="00175271"/>
    <w:rsid w:val="001753B7"/>
    <w:rsid w:val="001766BA"/>
    <w:rsid w:val="001801B2"/>
    <w:rsid w:val="00181A87"/>
    <w:rsid w:val="00184477"/>
    <w:rsid w:val="0018491C"/>
    <w:rsid w:val="001855C9"/>
    <w:rsid w:val="00185B05"/>
    <w:rsid w:val="00185CFD"/>
    <w:rsid w:val="001862F2"/>
    <w:rsid w:val="0018699C"/>
    <w:rsid w:val="00186D23"/>
    <w:rsid w:val="00186FAC"/>
    <w:rsid w:val="00190B95"/>
    <w:rsid w:val="00190DE0"/>
    <w:rsid w:val="00190F4E"/>
    <w:rsid w:val="00192B9A"/>
    <w:rsid w:val="0019326C"/>
    <w:rsid w:val="001939E1"/>
    <w:rsid w:val="00193A0A"/>
    <w:rsid w:val="001940BD"/>
    <w:rsid w:val="00195205"/>
    <w:rsid w:val="00195296"/>
    <w:rsid w:val="001961DA"/>
    <w:rsid w:val="00197AD6"/>
    <w:rsid w:val="00197BCB"/>
    <w:rsid w:val="001A0060"/>
    <w:rsid w:val="001A00D7"/>
    <w:rsid w:val="001A0767"/>
    <w:rsid w:val="001A0C04"/>
    <w:rsid w:val="001A19ED"/>
    <w:rsid w:val="001A1E18"/>
    <w:rsid w:val="001A2F42"/>
    <w:rsid w:val="001A3A34"/>
    <w:rsid w:val="001A4A48"/>
    <w:rsid w:val="001A4DAC"/>
    <w:rsid w:val="001A5258"/>
    <w:rsid w:val="001A5838"/>
    <w:rsid w:val="001A5D6C"/>
    <w:rsid w:val="001A631F"/>
    <w:rsid w:val="001A6F85"/>
    <w:rsid w:val="001B0154"/>
    <w:rsid w:val="001B0D97"/>
    <w:rsid w:val="001B1093"/>
    <w:rsid w:val="001B2409"/>
    <w:rsid w:val="001B25A3"/>
    <w:rsid w:val="001B3FE9"/>
    <w:rsid w:val="001B4A87"/>
    <w:rsid w:val="001B5305"/>
    <w:rsid w:val="001B530B"/>
    <w:rsid w:val="001B53A4"/>
    <w:rsid w:val="001B67A5"/>
    <w:rsid w:val="001B6BA1"/>
    <w:rsid w:val="001B7695"/>
    <w:rsid w:val="001B79C9"/>
    <w:rsid w:val="001B7F49"/>
    <w:rsid w:val="001C01EB"/>
    <w:rsid w:val="001C1CB6"/>
    <w:rsid w:val="001C3501"/>
    <w:rsid w:val="001C3B9B"/>
    <w:rsid w:val="001C61B1"/>
    <w:rsid w:val="001C7347"/>
    <w:rsid w:val="001C7636"/>
    <w:rsid w:val="001D09D7"/>
    <w:rsid w:val="001D1895"/>
    <w:rsid w:val="001D19C5"/>
    <w:rsid w:val="001D1A8B"/>
    <w:rsid w:val="001D2250"/>
    <w:rsid w:val="001D28EE"/>
    <w:rsid w:val="001D378A"/>
    <w:rsid w:val="001D3CCB"/>
    <w:rsid w:val="001D525C"/>
    <w:rsid w:val="001D5843"/>
    <w:rsid w:val="001D5F53"/>
    <w:rsid w:val="001D786A"/>
    <w:rsid w:val="001E04D6"/>
    <w:rsid w:val="001E0635"/>
    <w:rsid w:val="001E2495"/>
    <w:rsid w:val="001E2E5E"/>
    <w:rsid w:val="001E3A56"/>
    <w:rsid w:val="001E3BB9"/>
    <w:rsid w:val="001E4271"/>
    <w:rsid w:val="001E4550"/>
    <w:rsid w:val="001E5059"/>
    <w:rsid w:val="001E51B5"/>
    <w:rsid w:val="001E6AB7"/>
    <w:rsid w:val="001F19CD"/>
    <w:rsid w:val="001F203F"/>
    <w:rsid w:val="001F2CF1"/>
    <w:rsid w:val="001F3C4E"/>
    <w:rsid w:val="001F5191"/>
    <w:rsid w:val="001F5213"/>
    <w:rsid w:val="001F7C4E"/>
    <w:rsid w:val="001F7D5A"/>
    <w:rsid w:val="001F7DC1"/>
    <w:rsid w:val="001F7F94"/>
    <w:rsid w:val="00200B50"/>
    <w:rsid w:val="00201331"/>
    <w:rsid w:val="002035F3"/>
    <w:rsid w:val="00203FD4"/>
    <w:rsid w:val="00203FE8"/>
    <w:rsid w:val="0020548B"/>
    <w:rsid w:val="00205D8A"/>
    <w:rsid w:val="00206057"/>
    <w:rsid w:val="002066C8"/>
    <w:rsid w:val="00206C00"/>
    <w:rsid w:val="002070B6"/>
    <w:rsid w:val="002071BF"/>
    <w:rsid w:val="00207280"/>
    <w:rsid w:val="00210738"/>
    <w:rsid w:val="00214C53"/>
    <w:rsid w:val="00214DAE"/>
    <w:rsid w:val="00215A6D"/>
    <w:rsid w:val="00215E1A"/>
    <w:rsid w:val="002167D6"/>
    <w:rsid w:val="002201B7"/>
    <w:rsid w:val="002208D8"/>
    <w:rsid w:val="002208F1"/>
    <w:rsid w:val="00221A2D"/>
    <w:rsid w:val="0022207A"/>
    <w:rsid w:val="00224725"/>
    <w:rsid w:val="00224C0B"/>
    <w:rsid w:val="0022547E"/>
    <w:rsid w:val="00225622"/>
    <w:rsid w:val="00225F35"/>
    <w:rsid w:val="00226935"/>
    <w:rsid w:val="00226A27"/>
    <w:rsid w:val="0022737B"/>
    <w:rsid w:val="00230B25"/>
    <w:rsid w:val="002310EA"/>
    <w:rsid w:val="002327D8"/>
    <w:rsid w:val="0023290A"/>
    <w:rsid w:val="002335C6"/>
    <w:rsid w:val="00234B10"/>
    <w:rsid w:val="00234D7F"/>
    <w:rsid w:val="002357CD"/>
    <w:rsid w:val="002358FB"/>
    <w:rsid w:val="00236281"/>
    <w:rsid w:val="00236EAB"/>
    <w:rsid w:val="002372B4"/>
    <w:rsid w:val="00240AAE"/>
    <w:rsid w:val="00241376"/>
    <w:rsid w:val="00241DC2"/>
    <w:rsid w:val="0024227E"/>
    <w:rsid w:val="002425C4"/>
    <w:rsid w:val="0024367C"/>
    <w:rsid w:val="00243AB1"/>
    <w:rsid w:val="0024400B"/>
    <w:rsid w:val="00244870"/>
    <w:rsid w:val="002448A2"/>
    <w:rsid w:val="00245036"/>
    <w:rsid w:val="002452B4"/>
    <w:rsid w:val="00246151"/>
    <w:rsid w:val="00246D67"/>
    <w:rsid w:val="00246F75"/>
    <w:rsid w:val="002474D5"/>
    <w:rsid w:val="002478F1"/>
    <w:rsid w:val="00250197"/>
    <w:rsid w:val="00250E38"/>
    <w:rsid w:val="0025139A"/>
    <w:rsid w:val="00251403"/>
    <w:rsid w:val="002515C5"/>
    <w:rsid w:val="00252AEB"/>
    <w:rsid w:val="00252C97"/>
    <w:rsid w:val="002534CF"/>
    <w:rsid w:val="00255BFE"/>
    <w:rsid w:val="0025656C"/>
    <w:rsid w:val="00256C24"/>
    <w:rsid w:val="00256FB0"/>
    <w:rsid w:val="00257AB5"/>
    <w:rsid w:val="002609E4"/>
    <w:rsid w:val="00260AFD"/>
    <w:rsid w:val="00260B61"/>
    <w:rsid w:val="00261CB7"/>
    <w:rsid w:val="00262362"/>
    <w:rsid w:val="0026248F"/>
    <w:rsid w:val="00262936"/>
    <w:rsid w:val="0026371C"/>
    <w:rsid w:val="00263A5C"/>
    <w:rsid w:val="0026405E"/>
    <w:rsid w:val="002647E3"/>
    <w:rsid w:val="00264C72"/>
    <w:rsid w:val="00266069"/>
    <w:rsid w:val="002665B8"/>
    <w:rsid w:val="00266A97"/>
    <w:rsid w:val="002701D6"/>
    <w:rsid w:val="0027060E"/>
    <w:rsid w:val="002709D1"/>
    <w:rsid w:val="002709E9"/>
    <w:rsid w:val="00270C7B"/>
    <w:rsid w:val="00270FFD"/>
    <w:rsid w:val="0027151D"/>
    <w:rsid w:val="00271D2E"/>
    <w:rsid w:val="00271DE8"/>
    <w:rsid w:val="0027217F"/>
    <w:rsid w:val="00272691"/>
    <w:rsid w:val="00272DA5"/>
    <w:rsid w:val="00273F09"/>
    <w:rsid w:val="00274B01"/>
    <w:rsid w:val="00274ECE"/>
    <w:rsid w:val="00275581"/>
    <w:rsid w:val="002755B3"/>
    <w:rsid w:val="002764B9"/>
    <w:rsid w:val="00276E68"/>
    <w:rsid w:val="00277434"/>
    <w:rsid w:val="0027749F"/>
    <w:rsid w:val="00277850"/>
    <w:rsid w:val="00280A52"/>
    <w:rsid w:val="00280A62"/>
    <w:rsid w:val="00281F45"/>
    <w:rsid w:val="00281FC9"/>
    <w:rsid w:val="00282BD5"/>
    <w:rsid w:val="00283087"/>
    <w:rsid w:val="002838A5"/>
    <w:rsid w:val="00283B71"/>
    <w:rsid w:val="00283B80"/>
    <w:rsid w:val="00287D7B"/>
    <w:rsid w:val="0029059E"/>
    <w:rsid w:val="00290D97"/>
    <w:rsid w:val="00291AC5"/>
    <w:rsid w:val="00291C99"/>
    <w:rsid w:val="002925AF"/>
    <w:rsid w:val="00292EB9"/>
    <w:rsid w:val="00294225"/>
    <w:rsid w:val="002942FB"/>
    <w:rsid w:val="0029477A"/>
    <w:rsid w:val="00294A44"/>
    <w:rsid w:val="00294FF1"/>
    <w:rsid w:val="00295273"/>
    <w:rsid w:val="00295554"/>
    <w:rsid w:val="002957F6"/>
    <w:rsid w:val="00295EF1"/>
    <w:rsid w:val="00295F90"/>
    <w:rsid w:val="002A0064"/>
    <w:rsid w:val="002A08BB"/>
    <w:rsid w:val="002A0D68"/>
    <w:rsid w:val="002A1A05"/>
    <w:rsid w:val="002A1BDD"/>
    <w:rsid w:val="002A2651"/>
    <w:rsid w:val="002A2D3D"/>
    <w:rsid w:val="002A2F87"/>
    <w:rsid w:val="002A55B7"/>
    <w:rsid w:val="002A64CA"/>
    <w:rsid w:val="002A78E4"/>
    <w:rsid w:val="002B0CBF"/>
    <w:rsid w:val="002B100D"/>
    <w:rsid w:val="002B442E"/>
    <w:rsid w:val="002B4603"/>
    <w:rsid w:val="002B5133"/>
    <w:rsid w:val="002B5D57"/>
    <w:rsid w:val="002B6147"/>
    <w:rsid w:val="002B7A28"/>
    <w:rsid w:val="002C0FE4"/>
    <w:rsid w:val="002C1870"/>
    <w:rsid w:val="002C2381"/>
    <w:rsid w:val="002C3717"/>
    <w:rsid w:val="002C4173"/>
    <w:rsid w:val="002C6397"/>
    <w:rsid w:val="002C6509"/>
    <w:rsid w:val="002D0F90"/>
    <w:rsid w:val="002D157A"/>
    <w:rsid w:val="002D1C6A"/>
    <w:rsid w:val="002D27EB"/>
    <w:rsid w:val="002D339F"/>
    <w:rsid w:val="002D3B4B"/>
    <w:rsid w:val="002D463D"/>
    <w:rsid w:val="002D46AC"/>
    <w:rsid w:val="002D472F"/>
    <w:rsid w:val="002D5E8E"/>
    <w:rsid w:val="002D6FA5"/>
    <w:rsid w:val="002D7A67"/>
    <w:rsid w:val="002E0812"/>
    <w:rsid w:val="002E0886"/>
    <w:rsid w:val="002E1689"/>
    <w:rsid w:val="002E1A20"/>
    <w:rsid w:val="002E1DDA"/>
    <w:rsid w:val="002E26D2"/>
    <w:rsid w:val="002E3BAA"/>
    <w:rsid w:val="002E4B4F"/>
    <w:rsid w:val="002E58A6"/>
    <w:rsid w:val="002E6297"/>
    <w:rsid w:val="002E6446"/>
    <w:rsid w:val="002E65FC"/>
    <w:rsid w:val="002E6A84"/>
    <w:rsid w:val="002E7174"/>
    <w:rsid w:val="002F0FC9"/>
    <w:rsid w:val="002F154E"/>
    <w:rsid w:val="002F1696"/>
    <w:rsid w:val="002F16D7"/>
    <w:rsid w:val="002F29A6"/>
    <w:rsid w:val="002F37AE"/>
    <w:rsid w:val="002F3D75"/>
    <w:rsid w:val="002F42F6"/>
    <w:rsid w:val="002F5D8C"/>
    <w:rsid w:val="002F6112"/>
    <w:rsid w:val="002F6F3B"/>
    <w:rsid w:val="00302E55"/>
    <w:rsid w:val="00304941"/>
    <w:rsid w:val="00304EED"/>
    <w:rsid w:val="0030512D"/>
    <w:rsid w:val="003058B3"/>
    <w:rsid w:val="00305BFB"/>
    <w:rsid w:val="00306023"/>
    <w:rsid w:val="00306316"/>
    <w:rsid w:val="003065BC"/>
    <w:rsid w:val="00306ABD"/>
    <w:rsid w:val="00306B3D"/>
    <w:rsid w:val="00306D47"/>
    <w:rsid w:val="003079F9"/>
    <w:rsid w:val="00307FAE"/>
    <w:rsid w:val="003101F4"/>
    <w:rsid w:val="003114F5"/>
    <w:rsid w:val="00311708"/>
    <w:rsid w:val="003119BB"/>
    <w:rsid w:val="00311BB2"/>
    <w:rsid w:val="00311C31"/>
    <w:rsid w:val="00311FB8"/>
    <w:rsid w:val="00312E80"/>
    <w:rsid w:val="00312ECE"/>
    <w:rsid w:val="003136C4"/>
    <w:rsid w:val="00313E53"/>
    <w:rsid w:val="003144A8"/>
    <w:rsid w:val="00315965"/>
    <w:rsid w:val="00315F30"/>
    <w:rsid w:val="00315F7C"/>
    <w:rsid w:val="003162CC"/>
    <w:rsid w:val="00316923"/>
    <w:rsid w:val="00316939"/>
    <w:rsid w:val="003172DA"/>
    <w:rsid w:val="003178B1"/>
    <w:rsid w:val="0032007D"/>
    <w:rsid w:val="0032043C"/>
    <w:rsid w:val="00320C83"/>
    <w:rsid w:val="00320E9B"/>
    <w:rsid w:val="0032107B"/>
    <w:rsid w:val="00321837"/>
    <w:rsid w:val="0032261B"/>
    <w:rsid w:val="0032371D"/>
    <w:rsid w:val="00325ABA"/>
    <w:rsid w:val="00326135"/>
    <w:rsid w:val="00326AF1"/>
    <w:rsid w:val="00327063"/>
    <w:rsid w:val="0033027C"/>
    <w:rsid w:val="003306E5"/>
    <w:rsid w:val="00330709"/>
    <w:rsid w:val="00331271"/>
    <w:rsid w:val="003323F9"/>
    <w:rsid w:val="00332773"/>
    <w:rsid w:val="00332A1C"/>
    <w:rsid w:val="00332B59"/>
    <w:rsid w:val="003338F2"/>
    <w:rsid w:val="00334001"/>
    <w:rsid w:val="00334729"/>
    <w:rsid w:val="003349A4"/>
    <w:rsid w:val="003354F7"/>
    <w:rsid w:val="00336650"/>
    <w:rsid w:val="00336B72"/>
    <w:rsid w:val="00336CB6"/>
    <w:rsid w:val="00336DE4"/>
    <w:rsid w:val="003405B2"/>
    <w:rsid w:val="00340780"/>
    <w:rsid w:val="003412B9"/>
    <w:rsid w:val="0034132C"/>
    <w:rsid w:val="0034218A"/>
    <w:rsid w:val="00342848"/>
    <w:rsid w:val="00343B28"/>
    <w:rsid w:val="00344E01"/>
    <w:rsid w:val="00346698"/>
    <w:rsid w:val="0034756A"/>
    <w:rsid w:val="003475E5"/>
    <w:rsid w:val="003479FC"/>
    <w:rsid w:val="003509E6"/>
    <w:rsid w:val="00352323"/>
    <w:rsid w:val="0035290E"/>
    <w:rsid w:val="00353571"/>
    <w:rsid w:val="00353732"/>
    <w:rsid w:val="003546CE"/>
    <w:rsid w:val="003556CA"/>
    <w:rsid w:val="00355711"/>
    <w:rsid w:val="00356B9F"/>
    <w:rsid w:val="003609B5"/>
    <w:rsid w:val="00360E20"/>
    <w:rsid w:val="0036262D"/>
    <w:rsid w:val="00362842"/>
    <w:rsid w:val="00362B03"/>
    <w:rsid w:val="003636C7"/>
    <w:rsid w:val="00363C30"/>
    <w:rsid w:val="00364977"/>
    <w:rsid w:val="0036543E"/>
    <w:rsid w:val="00365625"/>
    <w:rsid w:val="00365B53"/>
    <w:rsid w:val="00366A47"/>
    <w:rsid w:val="00366D30"/>
    <w:rsid w:val="00366DCE"/>
    <w:rsid w:val="003671E5"/>
    <w:rsid w:val="0036724C"/>
    <w:rsid w:val="003672ED"/>
    <w:rsid w:val="00367EE4"/>
    <w:rsid w:val="00367FA3"/>
    <w:rsid w:val="00370B0B"/>
    <w:rsid w:val="00371429"/>
    <w:rsid w:val="00371DF9"/>
    <w:rsid w:val="003728D8"/>
    <w:rsid w:val="00373A71"/>
    <w:rsid w:val="0037437B"/>
    <w:rsid w:val="00374D42"/>
    <w:rsid w:val="003757E7"/>
    <w:rsid w:val="003763F7"/>
    <w:rsid w:val="003805F3"/>
    <w:rsid w:val="00380C1E"/>
    <w:rsid w:val="003811C5"/>
    <w:rsid w:val="00383597"/>
    <w:rsid w:val="00384AA4"/>
    <w:rsid w:val="00384DC2"/>
    <w:rsid w:val="00384E2E"/>
    <w:rsid w:val="00385A3B"/>
    <w:rsid w:val="00386C63"/>
    <w:rsid w:val="0038777E"/>
    <w:rsid w:val="00390656"/>
    <w:rsid w:val="003908BA"/>
    <w:rsid w:val="00390A51"/>
    <w:rsid w:val="00390AF0"/>
    <w:rsid w:val="00391376"/>
    <w:rsid w:val="00392E75"/>
    <w:rsid w:val="00393D1C"/>
    <w:rsid w:val="00395FE8"/>
    <w:rsid w:val="00396476"/>
    <w:rsid w:val="00396A06"/>
    <w:rsid w:val="00397F91"/>
    <w:rsid w:val="003A0530"/>
    <w:rsid w:val="003A08A5"/>
    <w:rsid w:val="003A0A55"/>
    <w:rsid w:val="003A1588"/>
    <w:rsid w:val="003A19AE"/>
    <w:rsid w:val="003A1C0D"/>
    <w:rsid w:val="003A1F7F"/>
    <w:rsid w:val="003A2907"/>
    <w:rsid w:val="003A3DCA"/>
    <w:rsid w:val="003A412D"/>
    <w:rsid w:val="003A428D"/>
    <w:rsid w:val="003A428E"/>
    <w:rsid w:val="003A47E9"/>
    <w:rsid w:val="003A525C"/>
    <w:rsid w:val="003A5E8E"/>
    <w:rsid w:val="003B0575"/>
    <w:rsid w:val="003B1004"/>
    <w:rsid w:val="003B1878"/>
    <w:rsid w:val="003B2D1E"/>
    <w:rsid w:val="003B358D"/>
    <w:rsid w:val="003B5852"/>
    <w:rsid w:val="003B5CD5"/>
    <w:rsid w:val="003B6DB0"/>
    <w:rsid w:val="003C0030"/>
    <w:rsid w:val="003C03C9"/>
    <w:rsid w:val="003C2E56"/>
    <w:rsid w:val="003C2F5B"/>
    <w:rsid w:val="003C37A6"/>
    <w:rsid w:val="003C3BCD"/>
    <w:rsid w:val="003C511C"/>
    <w:rsid w:val="003C66B5"/>
    <w:rsid w:val="003C67A6"/>
    <w:rsid w:val="003C6A22"/>
    <w:rsid w:val="003C7A74"/>
    <w:rsid w:val="003D0BC3"/>
    <w:rsid w:val="003D0CB7"/>
    <w:rsid w:val="003D15E3"/>
    <w:rsid w:val="003D2BEF"/>
    <w:rsid w:val="003D3184"/>
    <w:rsid w:val="003D3599"/>
    <w:rsid w:val="003D42D0"/>
    <w:rsid w:val="003D42F5"/>
    <w:rsid w:val="003D5339"/>
    <w:rsid w:val="003D5534"/>
    <w:rsid w:val="003D5CCF"/>
    <w:rsid w:val="003D6831"/>
    <w:rsid w:val="003E124C"/>
    <w:rsid w:val="003E20EA"/>
    <w:rsid w:val="003E2516"/>
    <w:rsid w:val="003E29CF"/>
    <w:rsid w:val="003E2CBD"/>
    <w:rsid w:val="003E3F1C"/>
    <w:rsid w:val="003E49D0"/>
    <w:rsid w:val="003E6425"/>
    <w:rsid w:val="003E696F"/>
    <w:rsid w:val="003E6AC8"/>
    <w:rsid w:val="003E6ADF"/>
    <w:rsid w:val="003E6FEE"/>
    <w:rsid w:val="003E7F20"/>
    <w:rsid w:val="003F00E7"/>
    <w:rsid w:val="003F2A72"/>
    <w:rsid w:val="003F4DA0"/>
    <w:rsid w:val="003F4F8A"/>
    <w:rsid w:val="003F575D"/>
    <w:rsid w:val="003F608F"/>
    <w:rsid w:val="003F68F6"/>
    <w:rsid w:val="003F7A86"/>
    <w:rsid w:val="003F7C84"/>
    <w:rsid w:val="0040096C"/>
    <w:rsid w:val="00400B20"/>
    <w:rsid w:val="00401A8F"/>
    <w:rsid w:val="00402A64"/>
    <w:rsid w:val="004039F8"/>
    <w:rsid w:val="00404ECA"/>
    <w:rsid w:val="0040534D"/>
    <w:rsid w:val="00405704"/>
    <w:rsid w:val="004064BE"/>
    <w:rsid w:val="00406C1F"/>
    <w:rsid w:val="004070AB"/>
    <w:rsid w:val="00407153"/>
    <w:rsid w:val="00410A2C"/>
    <w:rsid w:val="004124C1"/>
    <w:rsid w:val="00412E66"/>
    <w:rsid w:val="004130BC"/>
    <w:rsid w:val="00414605"/>
    <w:rsid w:val="004147FF"/>
    <w:rsid w:val="00414A3B"/>
    <w:rsid w:val="00414D8D"/>
    <w:rsid w:val="004154A7"/>
    <w:rsid w:val="00415F5A"/>
    <w:rsid w:val="0041681E"/>
    <w:rsid w:val="00416C0C"/>
    <w:rsid w:val="00416E74"/>
    <w:rsid w:val="0041797D"/>
    <w:rsid w:val="00417FD8"/>
    <w:rsid w:val="00420544"/>
    <w:rsid w:val="00420B83"/>
    <w:rsid w:val="00421644"/>
    <w:rsid w:val="00421928"/>
    <w:rsid w:val="00421B90"/>
    <w:rsid w:val="0042270F"/>
    <w:rsid w:val="0042329F"/>
    <w:rsid w:val="0042354C"/>
    <w:rsid w:val="00424A50"/>
    <w:rsid w:val="00426C80"/>
    <w:rsid w:val="00427A9B"/>
    <w:rsid w:val="00427F07"/>
    <w:rsid w:val="00430AC8"/>
    <w:rsid w:val="00432785"/>
    <w:rsid w:val="00432B4D"/>
    <w:rsid w:val="00433984"/>
    <w:rsid w:val="00433A26"/>
    <w:rsid w:val="00434379"/>
    <w:rsid w:val="0043446A"/>
    <w:rsid w:val="004371FD"/>
    <w:rsid w:val="00437417"/>
    <w:rsid w:val="004411DD"/>
    <w:rsid w:val="00441793"/>
    <w:rsid w:val="004417D9"/>
    <w:rsid w:val="00441EDB"/>
    <w:rsid w:val="004424D8"/>
    <w:rsid w:val="0044402D"/>
    <w:rsid w:val="0044464F"/>
    <w:rsid w:val="00444834"/>
    <w:rsid w:val="00444CEE"/>
    <w:rsid w:val="004455F1"/>
    <w:rsid w:val="00445A4A"/>
    <w:rsid w:val="00445CBF"/>
    <w:rsid w:val="00446AA8"/>
    <w:rsid w:val="00446FC2"/>
    <w:rsid w:val="004471B9"/>
    <w:rsid w:val="00447C8F"/>
    <w:rsid w:val="004505E6"/>
    <w:rsid w:val="00450B3B"/>
    <w:rsid w:val="00450DC3"/>
    <w:rsid w:val="004538A7"/>
    <w:rsid w:val="004540E4"/>
    <w:rsid w:val="004548E7"/>
    <w:rsid w:val="00455C52"/>
    <w:rsid w:val="004574A2"/>
    <w:rsid w:val="0045785E"/>
    <w:rsid w:val="0046024E"/>
    <w:rsid w:val="004605CD"/>
    <w:rsid w:val="00460788"/>
    <w:rsid w:val="00461269"/>
    <w:rsid w:val="00462E27"/>
    <w:rsid w:val="00463D33"/>
    <w:rsid w:val="004642CF"/>
    <w:rsid w:val="00465778"/>
    <w:rsid w:val="00466E19"/>
    <w:rsid w:val="00466FD4"/>
    <w:rsid w:val="00467240"/>
    <w:rsid w:val="00467BF7"/>
    <w:rsid w:val="004702B7"/>
    <w:rsid w:val="004711AB"/>
    <w:rsid w:val="004719FF"/>
    <w:rsid w:val="00471E1A"/>
    <w:rsid w:val="00472931"/>
    <w:rsid w:val="00472E77"/>
    <w:rsid w:val="0047369C"/>
    <w:rsid w:val="00473BE8"/>
    <w:rsid w:val="00473FB2"/>
    <w:rsid w:val="00474216"/>
    <w:rsid w:val="0047427F"/>
    <w:rsid w:val="00477C40"/>
    <w:rsid w:val="00482023"/>
    <w:rsid w:val="004828C3"/>
    <w:rsid w:val="0048345C"/>
    <w:rsid w:val="00484DE0"/>
    <w:rsid w:val="00485762"/>
    <w:rsid w:val="004860BA"/>
    <w:rsid w:val="00486D06"/>
    <w:rsid w:val="00487E84"/>
    <w:rsid w:val="00490795"/>
    <w:rsid w:val="00491C64"/>
    <w:rsid w:val="00492436"/>
    <w:rsid w:val="00492942"/>
    <w:rsid w:val="00492947"/>
    <w:rsid w:val="00493BF4"/>
    <w:rsid w:val="004948E4"/>
    <w:rsid w:val="0049602B"/>
    <w:rsid w:val="0049649B"/>
    <w:rsid w:val="00497162"/>
    <w:rsid w:val="004972F2"/>
    <w:rsid w:val="00497B02"/>
    <w:rsid w:val="004A040E"/>
    <w:rsid w:val="004A0DD4"/>
    <w:rsid w:val="004A1902"/>
    <w:rsid w:val="004A199C"/>
    <w:rsid w:val="004A1DCB"/>
    <w:rsid w:val="004A20B2"/>
    <w:rsid w:val="004A20E3"/>
    <w:rsid w:val="004A2201"/>
    <w:rsid w:val="004A386E"/>
    <w:rsid w:val="004A3C81"/>
    <w:rsid w:val="004A46F1"/>
    <w:rsid w:val="004A4766"/>
    <w:rsid w:val="004A62A5"/>
    <w:rsid w:val="004A6E0B"/>
    <w:rsid w:val="004B0AD4"/>
    <w:rsid w:val="004B1046"/>
    <w:rsid w:val="004B2EA7"/>
    <w:rsid w:val="004B4171"/>
    <w:rsid w:val="004B42C3"/>
    <w:rsid w:val="004B579B"/>
    <w:rsid w:val="004B6151"/>
    <w:rsid w:val="004B763F"/>
    <w:rsid w:val="004C0B37"/>
    <w:rsid w:val="004C191B"/>
    <w:rsid w:val="004C1B86"/>
    <w:rsid w:val="004C220C"/>
    <w:rsid w:val="004C23BF"/>
    <w:rsid w:val="004C2683"/>
    <w:rsid w:val="004C291D"/>
    <w:rsid w:val="004C2C3A"/>
    <w:rsid w:val="004C303F"/>
    <w:rsid w:val="004C3348"/>
    <w:rsid w:val="004C36AA"/>
    <w:rsid w:val="004C59D2"/>
    <w:rsid w:val="004C5DF4"/>
    <w:rsid w:val="004C6829"/>
    <w:rsid w:val="004C69F4"/>
    <w:rsid w:val="004C74CC"/>
    <w:rsid w:val="004C7CB3"/>
    <w:rsid w:val="004C7F5C"/>
    <w:rsid w:val="004D134E"/>
    <w:rsid w:val="004D19EF"/>
    <w:rsid w:val="004D1A58"/>
    <w:rsid w:val="004D2656"/>
    <w:rsid w:val="004D2EA9"/>
    <w:rsid w:val="004D4134"/>
    <w:rsid w:val="004D47D4"/>
    <w:rsid w:val="004D54E0"/>
    <w:rsid w:val="004D6630"/>
    <w:rsid w:val="004D6712"/>
    <w:rsid w:val="004E0F22"/>
    <w:rsid w:val="004E169B"/>
    <w:rsid w:val="004E2A73"/>
    <w:rsid w:val="004E3284"/>
    <w:rsid w:val="004E3B3D"/>
    <w:rsid w:val="004E3BE6"/>
    <w:rsid w:val="004E5867"/>
    <w:rsid w:val="004E5FB6"/>
    <w:rsid w:val="004E7182"/>
    <w:rsid w:val="004F2558"/>
    <w:rsid w:val="004F25A2"/>
    <w:rsid w:val="004F3323"/>
    <w:rsid w:val="004F3BC2"/>
    <w:rsid w:val="004F453C"/>
    <w:rsid w:val="004F48D5"/>
    <w:rsid w:val="004F5DAF"/>
    <w:rsid w:val="004F6040"/>
    <w:rsid w:val="004F6798"/>
    <w:rsid w:val="004F7BEA"/>
    <w:rsid w:val="005002C3"/>
    <w:rsid w:val="00500728"/>
    <w:rsid w:val="00501002"/>
    <w:rsid w:val="00501785"/>
    <w:rsid w:val="00503DFF"/>
    <w:rsid w:val="00503EAD"/>
    <w:rsid w:val="00505B52"/>
    <w:rsid w:val="00506581"/>
    <w:rsid w:val="00506856"/>
    <w:rsid w:val="0050752B"/>
    <w:rsid w:val="00507570"/>
    <w:rsid w:val="00507600"/>
    <w:rsid w:val="005076E4"/>
    <w:rsid w:val="00507C41"/>
    <w:rsid w:val="005104A4"/>
    <w:rsid w:val="00511837"/>
    <w:rsid w:val="0051225C"/>
    <w:rsid w:val="005125E5"/>
    <w:rsid w:val="0051262B"/>
    <w:rsid w:val="00512EAA"/>
    <w:rsid w:val="00513038"/>
    <w:rsid w:val="005132F3"/>
    <w:rsid w:val="005134E6"/>
    <w:rsid w:val="0051381E"/>
    <w:rsid w:val="005156A6"/>
    <w:rsid w:val="00515976"/>
    <w:rsid w:val="00515CD7"/>
    <w:rsid w:val="00516032"/>
    <w:rsid w:val="00516452"/>
    <w:rsid w:val="00517055"/>
    <w:rsid w:val="00517224"/>
    <w:rsid w:val="005176A6"/>
    <w:rsid w:val="00517C62"/>
    <w:rsid w:val="00517E32"/>
    <w:rsid w:val="0052005D"/>
    <w:rsid w:val="00520413"/>
    <w:rsid w:val="00521408"/>
    <w:rsid w:val="00521982"/>
    <w:rsid w:val="00521BAB"/>
    <w:rsid w:val="0052293A"/>
    <w:rsid w:val="00524B1B"/>
    <w:rsid w:val="00524C92"/>
    <w:rsid w:val="00524F24"/>
    <w:rsid w:val="00525E31"/>
    <w:rsid w:val="00527E7C"/>
    <w:rsid w:val="00530D72"/>
    <w:rsid w:val="00531102"/>
    <w:rsid w:val="0053157D"/>
    <w:rsid w:val="005320BC"/>
    <w:rsid w:val="0053298F"/>
    <w:rsid w:val="005339C3"/>
    <w:rsid w:val="00533E9D"/>
    <w:rsid w:val="0053464E"/>
    <w:rsid w:val="00535470"/>
    <w:rsid w:val="005367E0"/>
    <w:rsid w:val="00536F37"/>
    <w:rsid w:val="00537599"/>
    <w:rsid w:val="0053798F"/>
    <w:rsid w:val="00537BE1"/>
    <w:rsid w:val="00540626"/>
    <w:rsid w:val="005411D8"/>
    <w:rsid w:val="00541F14"/>
    <w:rsid w:val="0054315E"/>
    <w:rsid w:val="005433CB"/>
    <w:rsid w:val="0054391E"/>
    <w:rsid w:val="00543D1D"/>
    <w:rsid w:val="00543F08"/>
    <w:rsid w:val="005441C9"/>
    <w:rsid w:val="005442C9"/>
    <w:rsid w:val="00544657"/>
    <w:rsid w:val="00544C7F"/>
    <w:rsid w:val="00544E7D"/>
    <w:rsid w:val="0054664D"/>
    <w:rsid w:val="00546B55"/>
    <w:rsid w:val="00547D31"/>
    <w:rsid w:val="00550364"/>
    <w:rsid w:val="00550870"/>
    <w:rsid w:val="0055168B"/>
    <w:rsid w:val="00551FFC"/>
    <w:rsid w:val="00552581"/>
    <w:rsid w:val="0055274D"/>
    <w:rsid w:val="005557B2"/>
    <w:rsid w:val="0055744B"/>
    <w:rsid w:val="00557DF9"/>
    <w:rsid w:val="0056155B"/>
    <w:rsid w:val="00561B2C"/>
    <w:rsid w:val="00562620"/>
    <w:rsid w:val="0056471D"/>
    <w:rsid w:val="00564B9F"/>
    <w:rsid w:val="00567C42"/>
    <w:rsid w:val="00570BD9"/>
    <w:rsid w:val="00570BF0"/>
    <w:rsid w:val="00570D37"/>
    <w:rsid w:val="00571420"/>
    <w:rsid w:val="00571DDA"/>
    <w:rsid w:val="00572518"/>
    <w:rsid w:val="00572B29"/>
    <w:rsid w:val="005749AC"/>
    <w:rsid w:val="00574FC5"/>
    <w:rsid w:val="0057623C"/>
    <w:rsid w:val="0057664E"/>
    <w:rsid w:val="00576972"/>
    <w:rsid w:val="00576DAF"/>
    <w:rsid w:val="005772E8"/>
    <w:rsid w:val="00577DD5"/>
    <w:rsid w:val="0058031D"/>
    <w:rsid w:val="00581BAC"/>
    <w:rsid w:val="0058242E"/>
    <w:rsid w:val="00584261"/>
    <w:rsid w:val="00584436"/>
    <w:rsid w:val="0058467A"/>
    <w:rsid w:val="00584870"/>
    <w:rsid w:val="00586FAB"/>
    <w:rsid w:val="00587001"/>
    <w:rsid w:val="0058781B"/>
    <w:rsid w:val="00590CDB"/>
    <w:rsid w:val="0059296F"/>
    <w:rsid w:val="00592D8E"/>
    <w:rsid w:val="005934EF"/>
    <w:rsid w:val="00593827"/>
    <w:rsid w:val="005938EB"/>
    <w:rsid w:val="005942F2"/>
    <w:rsid w:val="00595D1C"/>
    <w:rsid w:val="00596736"/>
    <w:rsid w:val="0059682B"/>
    <w:rsid w:val="00596EB3"/>
    <w:rsid w:val="0059752A"/>
    <w:rsid w:val="00597B02"/>
    <w:rsid w:val="005A0692"/>
    <w:rsid w:val="005A0E8E"/>
    <w:rsid w:val="005A15F9"/>
    <w:rsid w:val="005A238A"/>
    <w:rsid w:val="005A23EF"/>
    <w:rsid w:val="005A474B"/>
    <w:rsid w:val="005A511F"/>
    <w:rsid w:val="005A53D1"/>
    <w:rsid w:val="005A5708"/>
    <w:rsid w:val="005A6A5F"/>
    <w:rsid w:val="005A6C41"/>
    <w:rsid w:val="005A7704"/>
    <w:rsid w:val="005A7C04"/>
    <w:rsid w:val="005B1733"/>
    <w:rsid w:val="005B1FC0"/>
    <w:rsid w:val="005B2258"/>
    <w:rsid w:val="005B3706"/>
    <w:rsid w:val="005B3F97"/>
    <w:rsid w:val="005B410E"/>
    <w:rsid w:val="005B4118"/>
    <w:rsid w:val="005B4528"/>
    <w:rsid w:val="005B462E"/>
    <w:rsid w:val="005B4974"/>
    <w:rsid w:val="005B5345"/>
    <w:rsid w:val="005B5A00"/>
    <w:rsid w:val="005B5EA1"/>
    <w:rsid w:val="005B64FC"/>
    <w:rsid w:val="005B69A7"/>
    <w:rsid w:val="005B6AB6"/>
    <w:rsid w:val="005B6C6F"/>
    <w:rsid w:val="005C204F"/>
    <w:rsid w:val="005C237D"/>
    <w:rsid w:val="005C2B1D"/>
    <w:rsid w:val="005C44B1"/>
    <w:rsid w:val="005C4BB0"/>
    <w:rsid w:val="005C4E93"/>
    <w:rsid w:val="005C536C"/>
    <w:rsid w:val="005C5484"/>
    <w:rsid w:val="005C5905"/>
    <w:rsid w:val="005C5928"/>
    <w:rsid w:val="005C786F"/>
    <w:rsid w:val="005D0030"/>
    <w:rsid w:val="005D1861"/>
    <w:rsid w:val="005D1BF3"/>
    <w:rsid w:val="005D1F89"/>
    <w:rsid w:val="005D20C8"/>
    <w:rsid w:val="005D2CCC"/>
    <w:rsid w:val="005D2E08"/>
    <w:rsid w:val="005D370A"/>
    <w:rsid w:val="005D3966"/>
    <w:rsid w:val="005D3A6A"/>
    <w:rsid w:val="005D3D3B"/>
    <w:rsid w:val="005D3D98"/>
    <w:rsid w:val="005D4BBB"/>
    <w:rsid w:val="005D54FF"/>
    <w:rsid w:val="005D7FFE"/>
    <w:rsid w:val="005E08C0"/>
    <w:rsid w:val="005E09CC"/>
    <w:rsid w:val="005E218F"/>
    <w:rsid w:val="005E239D"/>
    <w:rsid w:val="005E337F"/>
    <w:rsid w:val="005E34ED"/>
    <w:rsid w:val="005E3C41"/>
    <w:rsid w:val="005E3F92"/>
    <w:rsid w:val="005E44E9"/>
    <w:rsid w:val="005E460A"/>
    <w:rsid w:val="005E47E7"/>
    <w:rsid w:val="005E4910"/>
    <w:rsid w:val="005E5B37"/>
    <w:rsid w:val="005E6225"/>
    <w:rsid w:val="005E6243"/>
    <w:rsid w:val="005E62B6"/>
    <w:rsid w:val="005E6923"/>
    <w:rsid w:val="005E71D7"/>
    <w:rsid w:val="005E74C9"/>
    <w:rsid w:val="005E7939"/>
    <w:rsid w:val="005F00CE"/>
    <w:rsid w:val="005F0647"/>
    <w:rsid w:val="005F285B"/>
    <w:rsid w:val="005F2A08"/>
    <w:rsid w:val="005F2C60"/>
    <w:rsid w:val="005F3861"/>
    <w:rsid w:val="005F3D43"/>
    <w:rsid w:val="005F73C5"/>
    <w:rsid w:val="005F7A3B"/>
    <w:rsid w:val="005F7BD5"/>
    <w:rsid w:val="00600BBC"/>
    <w:rsid w:val="00600DA1"/>
    <w:rsid w:val="00601C54"/>
    <w:rsid w:val="00601F65"/>
    <w:rsid w:val="00603267"/>
    <w:rsid w:val="00604520"/>
    <w:rsid w:val="00605A89"/>
    <w:rsid w:val="00605E5C"/>
    <w:rsid w:val="00606648"/>
    <w:rsid w:val="00606CA9"/>
    <w:rsid w:val="00606E4F"/>
    <w:rsid w:val="006101B3"/>
    <w:rsid w:val="00610275"/>
    <w:rsid w:val="0061104E"/>
    <w:rsid w:val="006110E2"/>
    <w:rsid w:val="00612213"/>
    <w:rsid w:val="006138EF"/>
    <w:rsid w:val="00615F1B"/>
    <w:rsid w:val="00616B46"/>
    <w:rsid w:val="006206F3"/>
    <w:rsid w:val="00621B87"/>
    <w:rsid w:val="00622081"/>
    <w:rsid w:val="0062212C"/>
    <w:rsid w:val="00622E30"/>
    <w:rsid w:val="00623007"/>
    <w:rsid w:val="00623BF4"/>
    <w:rsid w:val="006243EE"/>
    <w:rsid w:val="00625AC1"/>
    <w:rsid w:val="00626676"/>
    <w:rsid w:val="0062669E"/>
    <w:rsid w:val="00627A5B"/>
    <w:rsid w:val="00631A81"/>
    <w:rsid w:val="00632425"/>
    <w:rsid w:val="006329E2"/>
    <w:rsid w:val="00632E83"/>
    <w:rsid w:val="0063391F"/>
    <w:rsid w:val="00634C28"/>
    <w:rsid w:val="006355FC"/>
    <w:rsid w:val="006359D6"/>
    <w:rsid w:val="00635CA0"/>
    <w:rsid w:val="00641572"/>
    <w:rsid w:val="006416AF"/>
    <w:rsid w:val="00642608"/>
    <w:rsid w:val="00644620"/>
    <w:rsid w:val="00646040"/>
    <w:rsid w:val="00647154"/>
    <w:rsid w:val="00647F86"/>
    <w:rsid w:val="00650905"/>
    <w:rsid w:val="00650CD2"/>
    <w:rsid w:val="00650F7D"/>
    <w:rsid w:val="00651255"/>
    <w:rsid w:val="006512CE"/>
    <w:rsid w:val="00651809"/>
    <w:rsid w:val="006525E9"/>
    <w:rsid w:val="006529C1"/>
    <w:rsid w:val="00652BDE"/>
    <w:rsid w:val="00652D15"/>
    <w:rsid w:val="006540C7"/>
    <w:rsid w:val="006558B4"/>
    <w:rsid w:val="00656CD2"/>
    <w:rsid w:val="006574A6"/>
    <w:rsid w:val="00660C33"/>
    <w:rsid w:val="00661584"/>
    <w:rsid w:val="006624BB"/>
    <w:rsid w:val="006631F8"/>
    <w:rsid w:val="006639FF"/>
    <w:rsid w:val="006648B6"/>
    <w:rsid w:val="0066548C"/>
    <w:rsid w:val="0066578B"/>
    <w:rsid w:val="00665B7F"/>
    <w:rsid w:val="00665CDA"/>
    <w:rsid w:val="00665F6B"/>
    <w:rsid w:val="0066611B"/>
    <w:rsid w:val="00666AC4"/>
    <w:rsid w:val="006706F8"/>
    <w:rsid w:val="00670EB7"/>
    <w:rsid w:val="00672082"/>
    <w:rsid w:val="00672CC1"/>
    <w:rsid w:val="0067322C"/>
    <w:rsid w:val="006732CA"/>
    <w:rsid w:val="00673494"/>
    <w:rsid w:val="006739FC"/>
    <w:rsid w:val="00674624"/>
    <w:rsid w:val="00675788"/>
    <w:rsid w:val="00675E11"/>
    <w:rsid w:val="00675EFB"/>
    <w:rsid w:val="00677116"/>
    <w:rsid w:val="006779F5"/>
    <w:rsid w:val="006806E2"/>
    <w:rsid w:val="00680996"/>
    <w:rsid w:val="006814D7"/>
    <w:rsid w:val="00682095"/>
    <w:rsid w:val="00682422"/>
    <w:rsid w:val="00682E3D"/>
    <w:rsid w:val="006851A2"/>
    <w:rsid w:val="006858B1"/>
    <w:rsid w:val="00686B8C"/>
    <w:rsid w:val="00687C49"/>
    <w:rsid w:val="006911EB"/>
    <w:rsid w:val="006918FB"/>
    <w:rsid w:val="00691990"/>
    <w:rsid w:val="00693548"/>
    <w:rsid w:val="00693C9D"/>
    <w:rsid w:val="0069411D"/>
    <w:rsid w:val="00694226"/>
    <w:rsid w:val="00694241"/>
    <w:rsid w:val="0069565B"/>
    <w:rsid w:val="00696C92"/>
    <w:rsid w:val="00696F58"/>
    <w:rsid w:val="006974A5"/>
    <w:rsid w:val="006A0F62"/>
    <w:rsid w:val="006A10BA"/>
    <w:rsid w:val="006A18B9"/>
    <w:rsid w:val="006A2444"/>
    <w:rsid w:val="006A2F79"/>
    <w:rsid w:val="006A4F3E"/>
    <w:rsid w:val="006A52D6"/>
    <w:rsid w:val="006A6CDB"/>
    <w:rsid w:val="006A77BB"/>
    <w:rsid w:val="006B0ECC"/>
    <w:rsid w:val="006B0F29"/>
    <w:rsid w:val="006B185B"/>
    <w:rsid w:val="006B22AC"/>
    <w:rsid w:val="006B2995"/>
    <w:rsid w:val="006B428E"/>
    <w:rsid w:val="006B464E"/>
    <w:rsid w:val="006B6B38"/>
    <w:rsid w:val="006B6EA1"/>
    <w:rsid w:val="006B7F04"/>
    <w:rsid w:val="006C021A"/>
    <w:rsid w:val="006C0F0D"/>
    <w:rsid w:val="006C277F"/>
    <w:rsid w:val="006C28D5"/>
    <w:rsid w:val="006C2B0E"/>
    <w:rsid w:val="006C2BC2"/>
    <w:rsid w:val="006C33A9"/>
    <w:rsid w:val="006C41BF"/>
    <w:rsid w:val="006C503C"/>
    <w:rsid w:val="006C5AC1"/>
    <w:rsid w:val="006C5F40"/>
    <w:rsid w:val="006C704F"/>
    <w:rsid w:val="006C706F"/>
    <w:rsid w:val="006C7210"/>
    <w:rsid w:val="006C76BE"/>
    <w:rsid w:val="006C7B32"/>
    <w:rsid w:val="006D078D"/>
    <w:rsid w:val="006D164B"/>
    <w:rsid w:val="006D1C2A"/>
    <w:rsid w:val="006D1F00"/>
    <w:rsid w:val="006D2F8D"/>
    <w:rsid w:val="006D44AA"/>
    <w:rsid w:val="006D4631"/>
    <w:rsid w:val="006D4EDF"/>
    <w:rsid w:val="006D697B"/>
    <w:rsid w:val="006D7621"/>
    <w:rsid w:val="006D7853"/>
    <w:rsid w:val="006D7CC2"/>
    <w:rsid w:val="006E0773"/>
    <w:rsid w:val="006E184A"/>
    <w:rsid w:val="006E2474"/>
    <w:rsid w:val="006E2D24"/>
    <w:rsid w:val="006E2DDF"/>
    <w:rsid w:val="006E3F52"/>
    <w:rsid w:val="006E44AF"/>
    <w:rsid w:val="006E4A06"/>
    <w:rsid w:val="006E4C1F"/>
    <w:rsid w:val="006E4E8B"/>
    <w:rsid w:val="006E756A"/>
    <w:rsid w:val="006E77A9"/>
    <w:rsid w:val="006F0055"/>
    <w:rsid w:val="006F1085"/>
    <w:rsid w:val="006F130D"/>
    <w:rsid w:val="006F2B0B"/>
    <w:rsid w:val="006F41B0"/>
    <w:rsid w:val="006F5099"/>
    <w:rsid w:val="006F5247"/>
    <w:rsid w:val="006F5486"/>
    <w:rsid w:val="006F5E9F"/>
    <w:rsid w:val="006F68B3"/>
    <w:rsid w:val="006F74E4"/>
    <w:rsid w:val="007029EB"/>
    <w:rsid w:val="00702D4D"/>
    <w:rsid w:val="00704409"/>
    <w:rsid w:val="00705F97"/>
    <w:rsid w:val="007069C6"/>
    <w:rsid w:val="00711448"/>
    <w:rsid w:val="00711D8B"/>
    <w:rsid w:val="007125F7"/>
    <w:rsid w:val="007128BF"/>
    <w:rsid w:val="00712BAC"/>
    <w:rsid w:val="007132D4"/>
    <w:rsid w:val="00713CA7"/>
    <w:rsid w:val="00714D1D"/>
    <w:rsid w:val="00716FCA"/>
    <w:rsid w:val="00717443"/>
    <w:rsid w:val="00717834"/>
    <w:rsid w:val="00721539"/>
    <w:rsid w:val="00721544"/>
    <w:rsid w:val="0072157C"/>
    <w:rsid w:val="00721C07"/>
    <w:rsid w:val="00722083"/>
    <w:rsid w:val="007228F8"/>
    <w:rsid w:val="00722A5B"/>
    <w:rsid w:val="00722B24"/>
    <w:rsid w:val="00723BDA"/>
    <w:rsid w:val="00723DB0"/>
    <w:rsid w:val="00726F12"/>
    <w:rsid w:val="00730D76"/>
    <w:rsid w:val="00731B28"/>
    <w:rsid w:val="00731C46"/>
    <w:rsid w:val="00732B5D"/>
    <w:rsid w:val="00732EA6"/>
    <w:rsid w:val="00733614"/>
    <w:rsid w:val="00734288"/>
    <w:rsid w:val="007352F3"/>
    <w:rsid w:val="0073544B"/>
    <w:rsid w:val="007357FB"/>
    <w:rsid w:val="0073737C"/>
    <w:rsid w:val="007401AD"/>
    <w:rsid w:val="00740822"/>
    <w:rsid w:val="00740F55"/>
    <w:rsid w:val="00741165"/>
    <w:rsid w:val="007426A2"/>
    <w:rsid w:val="00742D57"/>
    <w:rsid w:val="00743819"/>
    <w:rsid w:val="007445B9"/>
    <w:rsid w:val="007455FB"/>
    <w:rsid w:val="00745A7A"/>
    <w:rsid w:val="00745E59"/>
    <w:rsid w:val="00746A06"/>
    <w:rsid w:val="00746C88"/>
    <w:rsid w:val="00747628"/>
    <w:rsid w:val="007476E2"/>
    <w:rsid w:val="00750113"/>
    <w:rsid w:val="00750628"/>
    <w:rsid w:val="00750BBD"/>
    <w:rsid w:val="00751321"/>
    <w:rsid w:val="00752197"/>
    <w:rsid w:val="00752BB7"/>
    <w:rsid w:val="007530B3"/>
    <w:rsid w:val="007533E6"/>
    <w:rsid w:val="00753A3A"/>
    <w:rsid w:val="00753E92"/>
    <w:rsid w:val="00754429"/>
    <w:rsid w:val="007545D8"/>
    <w:rsid w:val="00754F2C"/>
    <w:rsid w:val="00755007"/>
    <w:rsid w:val="0075511D"/>
    <w:rsid w:val="00756008"/>
    <w:rsid w:val="007579F9"/>
    <w:rsid w:val="0076067D"/>
    <w:rsid w:val="00760A2F"/>
    <w:rsid w:val="007611D9"/>
    <w:rsid w:val="00761319"/>
    <w:rsid w:val="00761FFF"/>
    <w:rsid w:val="00762981"/>
    <w:rsid w:val="007643DA"/>
    <w:rsid w:val="0076539E"/>
    <w:rsid w:val="00766A99"/>
    <w:rsid w:val="00767DC9"/>
    <w:rsid w:val="00770106"/>
    <w:rsid w:val="0077025E"/>
    <w:rsid w:val="00770825"/>
    <w:rsid w:val="00770E8D"/>
    <w:rsid w:val="007723F4"/>
    <w:rsid w:val="00772511"/>
    <w:rsid w:val="00772DEC"/>
    <w:rsid w:val="00772FAE"/>
    <w:rsid w:val="00773268"/>
    <w:rsid w:val="00773BCE"/>
    <w:rsid w:val="00774146"/>
    <w:rsid w:val="00775D18"/>
    <w:rsid w:val="00776DB7"/>
    <w:rsid w:val="00777F79"/>
    <w:rsid w:val="007807CA"/>
    <w:rsid w:val="00780B6E"/>
    <w:rsid w:val="00780FF2"/>
    <w:rsid w:val="007811DC"/>
    <w:rsid w:val="007819F7"/>
    <w:rsid w:val="00781C8C"/>
    <w:rsid w:val="00782D00"/>
    <w:rsid w:val="00783C1C"/>
    <w:rsid w:val="00784CB3"/>
    <w:rsid w:val="00785531"/>
    <w:rsid w:val="00785971"/>
    <w:rsid w:val="007865C4"/>
    <w:rsid w:val="0078678C"/>
    <w:rsid w:val="0078768E"/>
    <w:rsid w:val="00787D5B"/>
    <w:rsid w:val="007903F9"/>
    <w:rsid w:val="0079063F"/>
    <w:rsid w:val="00790C45"/>
    <w:rsid w:val="00790CD5"/>
    <w:rsid w:val="00790E03"/>
    <w:rsid w:val="0079176D"/>
    <w:rsid w:val="007922BD"/>
    <w:rsid w:val="00792A7A"/>
    <w:rsid w:val="00794523"/>
    <w:rsid w:val="00794F80"/>
    <w:rsid w:val="00795466"/>
    <w:rsid w:val="007963C8"/>
    <w:rsid w:val="00797D8D"/>
    <w:rsid w:val="00797DC6"/>
    <w:rsid w:val="007A1469"/>
    <w:rsid w:val="007A1AA3"/>
    <w:rsid w:val="007A20B2"/>
    <w:rsid w:val="007A31C6"/>
    <w:rsid w:val="007A3EBB"/>
    <w:rsid w:val="007A4DF3"/>
    <w:rsid w:val="007A7E66"/>
    <w:rsid w:val="007B03EA"/>
    <w:rsid w:val="007B1721"/>
    <w:rsid w:val="007B1A3C"/>
    <w:rsid w:val="007B22BE"/>
    <w:rsid w:val="007B276A"/>
    <w:rsid w:val="007B2CA1"/>
    <w:rsid w:val="007B2E46"/>
    <w:rsid w:val="007B3471"/>
    <w:rsid w:val="007B3DF7"/>
    <w:rsid w:val="007B4215"/>
    <w:rsid w:val="007B582E"/>
    <w:rsid w:val="007B6B5D"/>
    <w:rsid w:val="007B71C1"/>
    <w:rsid w:val="007B7CA0"/>
    <w:rsid w:val="007B7F54"/>
    <w:rsid w:val="007C1810"/>
    <w:rsid w:val="007C2A13"/>
    <w:rsid w:val="007C31D9"/>
    <w:rsid w:val="007C3A6C"/>
    <w:rsid w:val="007C4C27"/>
    <w:rsid w:val="007C5576"/>
    <w:rsid w:val="007C5B43"/>
    <w:rsid w:val="007C723F"/>
    <w:rsid w:val="007C72BF"/>
    <w:rsid w:val="007C74F5"/>
    <w:rsid w:val="007C7774"/>
    <w:rsid w:val="007C7DDE"/>
    <w:rsid w:val="007D0011"/>
    <w:rsid w:val="007D1396"/>
    <w:rsid w:val="007D209F"/>
    <w:rsid w:val="007D24F9"/>
    <w:rsid w:val="007D3C4C"/>
    <w:rsid w:val="007D4633"/>
    <w:rsid w:val="007D53D5"/>
    <w:rsid w:val="007D55DC"/>
    <w:rsid w:val="007D660D"/>
    <w:rsid w:val="007D6696"/>
    <w:rsid w:val="007D7901"/>
    <w:rsid w:val="007E03E7"/>
    <w:rsid w:val="007E08E3"/>
    <w:rsid w:val="007E09F7"/>
    <w:rsid w:val="007E0C45"/>
    <w:rsid w:val="007E1102"/>
    <w:rsid w:val="007E111D"/>
    <w:rsid w:val="007E2CE8"/>
    <w:rsid w:val="007E632F"/>
    <w:rsid w:val="007E63F4"/>
    <w:rsid w:val="007E6C73"/>
    <w:rsid w:val="007E7025"/>
    <w:rsid w:val="007E775F"/>
    <w:rsid w:val="007F06DE"/>
    <w:rsid w:val="007F0E05"/>
    <w:rsid w:val="007F17EA"/>
    <w:rsid w:val="007F227D"/>
    <w:rsid w:val="007F28B1"/>
    <w:rsid w:val="007F2CF1"/>
    <w:rsid w:val="007F325B"/>
    <w:rsid w:val="007F33B9"/>
    <w:rsid w:val="007F3B11"/>
    <w:rsid w:val="007F54FE"/>
    <w:rsid w:val="007F6551"/>
    <w:rsid w:val="007F7291"/>
    <w:rsid w:val="008002E5"/>
    <w:rsid w:val="008003C8"/>
    <w:rsid w:val="008005B1"/>
    <w:rsid w:val="00801041"/>
    <w:rsid w:val="008015E9"/>
    <w:rsid w:val="00802CDA"/>
    <w:rsid w:val="00803433"/>
    <w:rsid w:val="00804ADE"/>
    <w:rsid w:val="00804F80"/>
    <w:rsid w:val="008053EB"/>
    <w:rsid w:val="00805754"/>
    <w:rsid w:val="00806942"/>
    <w:rsid w:val="008072C7"/>
    <w:rsid w:val="00807E99"/>
    <w:rsid w:val="00810436"/>
    <w:rsid w:val="00810A9A"/>
    <w:rsid w:val="00811164"/>
    <w:rsid w:val="00812994"/>
    <w:rsid w:val="00812C71"/>
    <w:rsid w:val="00812E7C"/>
    <w:rsid w:val="0081321F"/>
    <w:rsid w:val="008147F3"/>
    <w:rsid w:val="00814945"/>
    <w:rsid w:val="008176B8"/>
    <w:rsid w:val="00820DA0"/>
    <w:rsid w:val="0082128C"/>
    <w:rsid w:val="00821476"/>
    <w:rsid w:val="0082198A"/>
    <w:rsid w:val="00821B1F"/>
    <w:rsid w:val="00822A94"/>
    <w:rsid w:val="00824540"/>
    <w:rsid w:val="00825E85"/>
    <w:rsid w:val="00826699"/>
    <w:rsid w:val="00827056"/>
    <w:rsid w:val="00827F62"/>
    <w:rsid w:val="00830F2E"/>
    <w:rsid w:val="0083131A"/>
    <w:rsid w:val="008328C7"/>
    <w:rsid w:val="00832AD0"/>
    <w:rsid w:val="008356A1"/>
    <w:rsid w:val="008361A1"/>
    <w:rsid w:val="00837C62"/>
    <w:rsid w:val="00837FA7"/>
    <w:rsid w:val="0084046B"/>
    <w:rsid w:val="00840DC8"/>
    <w:rsid w:val="00840E91"/>
    <w:rsid w:val="0084177B"/>
    <w:rsid w:val="008445C9"/>
    <w:rsid w:val="0084559B"/>
    <w:rsid w:val="008478B1"/>
    <w:rsid w:val="0085011B"/>
    <w:rsid w:val="008504DC"/>
    <w:rsid w:val="008504FC"/>
    <w:rsid w:val="008507F3"/>
    <w:rsid w:val="008509D5"/>
    <w:rsid w:val="00852707"/>
    <w:rsid w:val="00853D0B"/>
    <w:rsid w:val="0085510E"/>
    <w:rsid w:val="00856440"/>
    <w:rsid w:val="0085644E"/>
    <w:rsid w:val="00857107"/>
    <w:rsid w:val="00860526"/>
    <w:rsid w:val="00860D77"/>
    <w:rsid w:val="00861C02"/>
    <w:rsid w:val="008624E9"/>
    <w:rsid w:val="00862C19"/>
    <w:rsid w:val="0086403F"/>
    <w:rsid w:val="00864051"/>
    <w:rsid w:val="008657E0"/>
    <w:rsid w:val="00865C7B"/>
    <w:rsid w:val="00866034"/>
    <w:rsid w:val="00870885"/>
    <w:rsid w:val="00870F9A"/>
    <w:rsid w:val="00871031"/>
    <w:rsid w:val="008722FB"/>
    <w:rsid w:val="008733A9"/>
    <w:rsid w:val="0087357D"/>
    <w:rsid w:val="008742BB"/>
    <w:rsid w:val="00874548"/>
    <w:rsid w:val="00874698"/>
    <w:rsid w:val="008746BD"/>
    <w:rsid w:val="008753BC"/>
    <w:rsid w:val="008759B2"/>
    <w:rsid w:val="00876ACF"/>
    <w:rsid w:val="00876C6A"/>
    <w:rsid w:val="0087733D"/>
    <w:rsid w:val="0087790E"/>
    <w:rsid w:val="008804E7"/>
    <w:rsid w:val="008811E7"/>
    <w:rsid w:val="00881364"/>
    <w:rsid w:val="00881366"/>
    <w:rsid w:val="0088266F"/>
    <w:rsid w:val="0088267A"/>
    <w:rsid w:val="0088312B"/>
    <w:rsid w:val="00883737"/>
    <w:rsid w:val="00883BA1"/>
    <w:rsid w:val="00884D1A"/>
    <w:rsid w:val="00884E0F"/>
    <w:rsid w:val="00886474"/>
    <w:rsid w:val="0088675F"/>
    <w:rsid w:val="0088689B"/>
    <w:rsid w:val="008875DA"/>
    <w:rsid w:val="008877BC"/>
    <w:rsid w:val="00890A1F"/>
    <w:rsid w:val="0089189B"/>
    <w:rsid w:val="00891FA9"/>
    <w:rsid w:val="0089271E"/>
    <w:rsid w:val="008945B4"/>
    <w:rsid w:val="00896155"/>
    <w:rsid w:val="00897292"/>
    <w:rsid w:val="008A116B"/>
    <w:rsid w:val="008A1A67"/>
    <w:rsid w:val="008A3024"/>
    <w:rsid w:val="008A3640"/>
    <w:rsid w:val="008A37FD"/>
    <w:rsid w:val="008A3C14"/>
    <w:rsid w:val="008A3E9B"/>
    <w:rsid w:val="008A4AE9"/>
    <w:rsid w:val="008A4BE6"/>
    <w:rsid w:val="008A7C9B"/>
    <w:rsid w:val="008A7E25"/>
    <w:rsid w:val="008B0FFF"/>
    <w:rsid w:val="008B1040"/>
    <w:rsid w:val="008B3B64"/>
    <w:rsid w:val="008B4409"/>
    <w:rsid w:val="008B4918"/>
    <w:rsid w:val="008B5A29"/>
    <w:rsid w:val="008B63D2"/>
    <w:rsid w:val="008B65DD"/>
    <w:rsid w:val="008B7A17"/>
    <w:rsid w:val="008C001E"/>
    <w:rsid w:val="008C1297"/>
    <w:rsid w:val="008C1C40"/>
    <w:rsid w:val="008C3690"/>
    <w:rsid w:val="008C3F06"/>
    <w:rsid w:val="008C4DD1"/>
    <w:rsid w:val="008C5067"/>
    <w:rsid w:val="008C63A1"/>
    <w:rsid w:val="008D037E"/>
    <w:rsid w:val="008D0912"/>
    <w:rsid w:val="008D16FF"/>
    <w:rsid w:val="008D2D28"/>
    <w:rsid w:val="008D2D5A"/>
    <w:rsid w:val="008D2EE7"/>
    <w:rsid w:val="008D4766"/>
    <w:rsid w:val="008D52D8"/>
    <w:rsid w:val="008D53E8"/>
    <w:rsid w:val="008D542D"/>
    <w:rsid w:val="008D70F6"/>
    <w:rsid w:val="008E032B"/>
    <w:rsid w:val="008E0666"/>
    <w:rsid w:val="008E0F68"/>
    <w:rsid w:val="008E1B79"/>
    <w:rsid w:val="008E29D5"/>
    <w:rsid w:val="008E2BAE"/>
    <w:rsid w:val="008E3736"/>
    <w:rsid w:val="008E3B21"/>
    <w:rsid w:val="008E3D73"/>
    <w:rsid w:val="008E4D02"/>
    <w:rsid w:val="008E5F01"/>
    <w:rsid w:val="008E6178"/>
    <w:rsid w:val="008E6D21"/>
    <w:rsid w:val="008E714E"/>
    <w:rsid w:val="008F0495"/>
    <w:rsid w:val="008F1BC5"/>
    <w:rsid w:val="008F2B9B"/>
    <w:rsid w:val="008F30FD"/>
    <w:rsid w:val="008F35FA"/>
    <w:rsid w:val="008F3AF4"/>
    <w:rsid w:val="008F471F"/>
    <w:rsid w:val="008F49A3"/>
    <w:rsid w:val="008F4C27"/>
    <w:rsid w:val="008F4E2E"/>
    <w:rsid w:val="008F5271"/>
    <w:rsid w:val="008F56A1"/>
    <w:rsid w:val="008F65E8"/>
    <w:rsid w:val="008F665F"/>
    <w:rsid w:val="008F6C35"/>
    <w:rsid w:val="008F7100"/>
    <w:rsid w:val="0090024F"/>
    <w:rsid w:val="009010C4"/>
    <w:rsid w:val="009021E6"/>
    <w:rsid w:val="00902462"/>
    <w:rsid w:val="009025C1"/>
    <w:rsid w:val="00902743"/>
    <w:rsid w:val="00903653"/>
    <w:rsid w:val="009055B7"/>
    <w:rsid w:val="00905AEA"/>
    <w:rsid w:val="00906C1B"/>
    <w:rsid w:val="00907543"/>
    <w:rsid w:val="00907F10"/>
    <w:rsid w:val="00910555"/>
    <w:rsid w:val="009108BA"/>
    <w:rsid w:val="009112B8"/>
    <w:rsid w:val="00911D7C"/>
    <w:rsid w:val="00913495"/>
    <w:rsid w:val="00913A84"/>
    <w:rsid w:val="009140FE"/>
    <w:rsid w:val="0091428C"/>
    <w:rsid w:val="00914B4F"/>
    <w:rsid w:val="0091543A"/>
    <w:rsid w:val="0091605D"/>
    <w:rsid w:val="009161ED"/>
    <w:rsid w:val="00917539"/>
    <w:rsid w:val="00917C54"/>
    <w:rsid w:val="009203F0"/>
    <w:rsid w:val="00922846"/>
    <w:rsid w:val="00922D6A"/>
    <w:rsid w:val="00923B4A"/>
    <w:rsid w:val="00923E7B"/>
    <w:rsid w:val="00924C27"/>
    <w:rsid w:val="00925174"/>
    <w:rsid w:val="0092547F"/>
    <w:rsid w:val="00926C3E"/>
    <w:rsid w:val="009274EC"/>
    <w:rsid w:val="00927874"/>
    <w:rsid w:val="009319DE"/>
    <w:rsid w:val="00934C7A"/>
    <w:rsid w:val="0093569D"/>
    <w:rsid w:val="00935C31"/>
    <w:rsid w:val="00937C28"/>
    <w:rsid w:val="0094044B"/>
    <w:rsid w:val="0094067F"/>
    <w:rsid w:val="009417F3"/>
    <w:rsid w:val="009419D0"/>
    <w:rsid w:val="0094259C"/>
    <w:rsid w:val="00943775"/>
    <w:rsid w:val="00944023"/>
    <w:rsid w:val="00946346"/>
    <w:rsid w:val="00946840"/>
    <w:rsid w:val="009468D4"/>
    <w:rsid w:val="00946A2E"/>
    <w:rsid w:val="00946D16"/>
    <w:rsid w:val="009517FA"/>
    <w:rsid w:val="00951A83"/>
    <w:rsid w:val="009529E0"/>
    <w:rsid w:val="00953EB9"/>
    <w:rsid w:val="00954000"/>
    <w:rsid w:val="0095464D"/>
    <w:rsid w:val="00954F86"/>
    <w:rsid w:val="009555D5"/>
    <w:rsid w:val="0095568C"/>
    <w:rsid w:val="00955FF8"/>
    <w:rsid w:val="00956563"/>
    <w:rsid w:val="00956C4B"/>
    <w:rsid w:val="00956F80"/>
    <w:rsid w:val="009579E4"/>
    <w:rsid w:val="00960283"/>
    <w:rsid w:val="00960AC7"/>
    <w:rsid w:val="00961909"/>
    <w:rsid w:val="00961CA8"/>
    <w:rsid w:val="00961D58"/>
    <w:rsid w:val="00962823"/>
    <w:rsid w:val="009630E0"/>
    <w:rsid w:val="0096373A"/>
    <w:rsid w:val="009655EA"/>
    <w:rsid w:val="0096578C"/>
    <w:rsid w:val="00970417"/>
    <w:rsid w:val="009734FC"/>
    <w:rsid w:val="009738DF"/>
    <w:rsid w:val="00973A6C"/>
    <w:rsid w:val="00974980"/>
    <w:rsid w:val="00974AE1"/>
    <w:rsid w:val="00974E16"/>
    <w:rsid w:val="009757EE"/>
    <w:rsid w:val="00975E75"/>
    <w:rsid w:val="0097666C"/>
    <w:rsid w:val="009801CE"/>
    <w:rsid w:val="00980BC6"/>
    <w:rsid w:val="0098125B"/>
    <w:rsid w:val="00981F25"/>
    <w:rsid w:val="00982F8E"/>
    <w:rsid w:val="0098351E"/>
    <w:rsid w:val="00983840"/>
    <w:rsid w:val="00983F03"/>
    <w:rsid w:val="009854BA"/>
    <w:rsid w:val="00985A29"/>
    <w:rsid w:val="00986D4D"/>
    <w:rsid w:val="00987FB7"/>
    <w:rsid w:val="0099156C"/>
    <w:rsid w:val="00992183"/>
    <w:rsid w:val="00992482"/>
    <w:rsid w:val="0099460B"/>
    <w:rsid w:val="00995013"/>
    <w:rsid w:val="009955CA"/>
    <w:rsid w:val="00996166"/>
    <w:rsid w:val="00996DCF"/>
    <w:rsid w:val="009979C9"/>
    <w:rsid w:val="009A05F1"/>
    <w:rsid w:val="009A1C7A"/>
    <w:rsid w:val="009A63EF"/>
    <w:rsid w:val="009A6A28"/>
    <w:rsid w:val="009A6AD1"/>
    <w:rsid w:val="009A7E67"/>
    <w:rsid w:val="009B0931"/>
    <w:rsid w:val="009B0BFE"/>
    <w:rsid w:val="009B3706"/>
    <w:rsid w:val="009B3EE2"/>
    <w:rsid w:val="009B417B"/>
    <w:rsid w:val="009B5EE9"/>
    <w:rsid w:val="009B62E8"/>
    <w:rsid w:val="009B72DA"/>
    <w:rsid w:val="009B7F27"/>
    <w:rsid w:val="009C160C"/>
    <w:rsid w:val="009C168B"/>
    <w:rsid w:val="009C1D8D"/>
    <w:rsid w:val="009C3004"/>
    <w:rsid w:val="009C451C"/>
    <w:rsid w:val="009C4F2C"/>
    <w:rsid w:val="009C52D3"/>
    <w:rsid w:val="009C642A"/>
    <w:rsid w:val="009C69E6"/>
    <w:rsid w:val="009C6B05"/>
    <w:rsid w:val="009C6C0E"/>
    <w:rsid w:val="009C6CD7"/>
    <w:rsid w:val="009C70E6"/>
    <w:rsid w:val="009C72BD"/>
    <w:rsid w:val="009D0FAB"/>
    <w:rsid w:val="009D2195"/>
    <w:rsid w:val="009D2A4A"/>
    <w:rsid w:val="009D3E50"/>
    <w:rsid w:val="009D4165"/>
    <w:rsid w:val="009D4644"/>
    <w:rsid w:val="009D4786"/>
    <w:rsid w:val="009D56F4"/>
    <w:rsid w:val="009D6F66"/>
    <w:rsid w:val="009D7DEB"/>
    <w:rsid w:val="009E0DAA"/>
    <w:rsid w:val="009E2024"/>
    <w:rsid w:val="009E30CB"/>
    <w:rsid w:val="009E3EFE"/>
    <w:rsid w:val="009E4101"/>
    <w:rsid w:val="009E4190"/>
    <w:rsid w:val="009E5069"/>
    <w:rsid w:val="009E535B"/>
    <w:rsid w:val="009E54F6"/>
    <w:rsid w:val="009E6FCC"/>
    <w:rsid w:val="009E6FF9"/>
    <w:rsid w:val="009E7248"/>
    <w:rsid w:val="009F0403"/>
    <w:rsid w:val="009F09D1"/>
    <w:rsid w:val="009F0B24"/>
    <w:rsid w:val="009F22CB"/>
    <w:rsid w:val="009F4217"/>
    <w:rsid w:val="009F569F"/>
    <w:rsid w:val="009F5DA2"/>
    <w:rsid w:val="009F6705"/>
    <w:rsid w:val="009F7E5E"/>
    <w:rsid w:val="00A00702"/>
    <w:rsid w:val="00A00C53"/>
    <w:rsid w:val="00A00E1F"/>
    <w:rsid w:val="00A00E7A"/>
    <w:rsid w:val="00A01150"/>
    <w:rsid w:val="00A01527"/>
    <w:rsid w:val="00A02B49"/>
    <w:rsid w:val="00A0349A"/>
    <w:rsid w:val="00A034EC"/>
    <w:rsid w:val="00A035C6"/>
    <w:rsid w:val="00A037A6"/>
    <w:rsid w:val="00A040E7"/>
    <w:rsid w:val="00A04102"/>
    <w:rsid w:val="00A04D5C"/>
    <w:rsid w:val="00A05497"/>
    <w:rsid w:val="00A05A92"/>
    <w:rsid w:val="00A102CF"/>
    <w:rsid w:val="00A10EAF"/>
    <w:rsid w:val="00A128DF"/>
    <w:rsid w:val="00A144D1"/>
    <w:rsid w:val="00A145DF"/>
    <w:rsid w:val="00A145EA"/>
    <w:rsid w:val="00A14B38"/>
    <w:rsid w:val="00A15488"/>
    <w:rsid w:val="00A15B1B"/>
    <w:rsid w:val="00A17233"/>
    <w:rsid w:val="00A17677"/>
    <w:rsid w:val="00A20152"/>
    <w:rsid w:val="00A21729"/>
    <w:rsid w:val="00A217DC"/>
    <w:rsid w:val="00A21957"/>
    <w:rsid w:val="00A21F6F"/>
    <w:rsid w:val="00A2211B"/>
    <w:rsid w:val="00A22926"/>
    <w:rsid w:val="00A251B9"/>
    <w:rsid w:val="00A2696C"/>
    <w:rsid w:val="00A26E46"/>
    <w:rsid w:val="00A305CD"/>
    <w:rsid w:val="00A3198C"/>
    <w:rsid w:val="00A31BC4"/>
    <w:rsid w:val="00A3272B"/>
    <w:rsid w:val="00A32945"/>
    <w:rsid w:val="00A32E6A"/>
    <w:rsid w:val="00A33348"/>
    <w:rsid w:val="00A36BC3"/>
    <w:rsid w:val="00A36D18"/>
    <w:rsid w:val="00A37A08"/>
    <w:rsid w:val="00A4068C"/>
    <w:rsid w:val="00A4154E"/>
    <w:rsid w:val="00A422B3"/>
    <w:rsid w:val="00A424B4"/>
    <w:rsid w:val="00A42DCA"/>
    <w:rsid w:val="00A43398"/>
    <w:rsid w:val="00A43A69"/>
    <w:rsid w:val="00A46934"/>
    <w:rsid w:val="00A4782D"/>
    <w:rsid w:val="00A47AD7"/>
    <w:rsid w:val="00A51522"/>
    <w:rsid w:val="00A51682"/>
    <w:rsid w:val="00A5169B"/>
    <w:rsid w:val="00A5185E"/>
    <w:rsid w:val="00A51A34"/>
    <w:rsid w:val="00A52182"/>
    <w:rsid w:val="00A52472"/>
    <w:rsid w:val="00A527DA"/>
    <w:rsid w:val="00A52E44"/>
    <w:rsid w:val="00A5309E"/>
    <w:rsid w:val="00A53264"/>
    <w:rsid w:val="00A53576"/>
    <w:rsid w:val="00A53746"/>
    <w:rsid w:val="00A539A0"/>
    <w:rsid w:val="00A54647"/>
    <w:rsid w:val="00A565FA"/>
    <w:rsid w:val="00A56AAB"/>
    <w:rsid w:val="00A56DDB"/>
    <w:rsid w:val="00A615D9"/>
    <w:rsid w:val="00A6278A"/>
    <w:rsid w:val="00A62A9D"/>
    <w:rsid w:val="00A633BC"/>
    <w:rsid w:val="00A633F2"/>
    <w:rsid w:val="00A64425"/>
    <w:rsid w:val="00A646D4"/>
    <w:rsid w:val="00A6488C"/>
    <w:rsid w:val="00A648F5"/>
    <w:rsid w:val="00A6502A"/>
    <w:rsid w:val="00A66F87"/>
    <w:rsid w:val="00A6730A"/>
    <w:rsid w:val="00A677C6"/>
    <w:rsid w:val="00A67C1F"/>
    <w:rsid w:val="00A67E9A"/>
    <w:rsid w:val="00A70099"/>
    <w:rsid w:val="00A7076A"/>
    <w:rsid w:val="00A70AB5"/>
    <w:rsid w:val="00A7184A"/>
    <w:rsid w:val="00A71CC0"/>
    <w:rsid w:val="00A7208B"/>
    <w:rsid w:val="00A73C3B"/>
    <w:rsid w:val="00A740CC"/>
    <w:rsid w:val="00A74673"/>
    <w:rsid w:val="00A75A86"/>
    <w:rsid w:val="00A763F3"/>
    <w:rsid w:val="00A763F7"/>
    <w:rsid w:val="00A7655C"/>
    <w:rsid w:val="00A76790"/>
    <w:rsid w:val="00A767CA"/>
    <w:rsid w:val="00A76FDB"/>
    <w:rsid w:val="00A82BAF"/>
    <w:rsid w:val="00A82C8F"/>
    <w:rsid w:val="00A8324C"/>
    <w:rsid w:val="00A8326F"/>
    <w:rsid w:val="00A83801"/>
    <w:rsid w:val="00A8543E"/>
    <w:rsid w:val="00A86948"/>
    <w:rsid w:val="00A86D93"/>
    <w:rsid w:val="00A86DB8"/>
    <w:rsid w:val="00A8791D"/>
    <w:rsid w:val="00A87B2F"/>
    <w:rsid w:val="00A87FCF"/>
    <w:rsid w:val="00A915EB"/>
    <w:rsid w:val="00A91E7C"/>
    <w:rsid w:val="00A93555"/>
    <w:rsid w:val="00A959CF"/>
    <w:rsid w:val="00A95D8B"/>
    <w:rsid w:val="00A95DC3"/>
    <w:rsid w:val="00A961BC"/>
    <w:rsid w:val="00A975C8"/>
    <w:rsid w:val="00AA08FB"/>
    <w:rsid w:val="00AA0C8F"/>
    <w:rsid w:val="00AA127A"/>
    <w:rsid w:val="00AA17DB"/>
    <w:rsid w:val="00AA17FF"/>
    <w:rsid w:val="00AA2188"/>
    <w:rsid w:val="00AA2233"/>
    <w:rsid w:val="00AA273C"/>
    <w:rsid w:val="00AA3851"/>
    <w:rsid w:val="00AA3C00"/>
    <w:rsid w:val="00AA41F4"/>
    <w:rsid w:val="00AA4301"/>
    <w:rsid w:val="00AA5675"/>
    <w:rsid w:val="00AA5E32"/>
    <w:rsid w:val="00AA6116"/>
    <w:rsid w:val="00AA6428"/>
    <w:rsid w:val="00AA6567"/>
    <w:rsid w:val="00AB0698"/>
    <w:rsid w:val="00AB135D"/>
    <w:rsid w:val="00AB4062"/>
    <w:rsid w:val="00AB54B7"/>
    <w:rsid w:val="00AB5E57"/>
    <w:rsid w:val="00AB73A1"/>
    <w:rsid w:val="00AB7F7E"/>
    <w:rsid w:val="00AC10C4"/>
    <w:rsid w:val="00AC1334"/>
    <w:rsid w:val="00AC16E2"/>
    <w:rsid w:val="00AC1E11"/>
    <w:rsid w:val="00AC202E"/>
    <w:rsid w:val="00AC20AE"/>
    <w:rsid w:val="00AC2B6F"/>
    <w:rsid w:val="00AC4E11"/>
    <w:rsid w:val="00AC563C"/>
    <w:rsid w:val="00AC74BC"/>
    <w:rsid w:val="00AD03A6"/>
    <w:rsid w:val="00AD0CF3"/>
    <w:rsid w:val="00AD12B5"/>
    <w:rsid w:val="00AD2447"/>
    <w:rsid w:val="00AD27F1"/>
    <w:rsid w:val="00AD3162"/>
    <w:rsid w:val="00AD5572"/>
    <w:rsid w:val="00AD5BD6"/>
    <w:rsid w:val="00AD5D12"/>
    <w:rsid w:val="00AD6EB4"/>
    <w:rsid w:val="00AD708B"/>
    <w:rsid w:val="00AD7CE9"/>
    <w:rsid w:val="00AD7D86"/>
    <w:rsid w:val="00AE03C7"/>
    <w:rsid w:val="00AE103B"/>
    <w:rsid w:val="00AE10AD"/>
    <w:rsid w:val="00AE141C"/>
    <w:rsid w:val="00AE19C2"/>
    <w:rsid w:val="00AE20E7"/>
    <w:rsid w:val="00AE23BA"/>
    <w:rsid w:val="00AE32DF"/>
    <w:rsid w:val="00AE3899"/>
    <w:rsid w:val="00AE621D"/>
    <w:rsid w:val="00AE67E3"/>
    <w:rsid w:val="00AE75C0"/>
    <w:rsid w:val="00AE7BCB"/>
    <w:rsid w:val="00AE7D29"/>
    <w:rsid w:val="00AF08E8"/>
    <w:rsid w:val="00AF0F87"/>
    <w:rsid w:val="00AF1B58"/>
    <w:rsid w:val="00AF1F5D"/>
    <w:rsid w:val="00AF2327"/>
    <w:rsid w:val="00AF23B8"/>
    <w:rsid w:val="00AF2D3B"/>
    <w:rsid w:val="00AF3B85"/>
    <w:rsid w:val="00AF4089"/>
    <w:rsid w:val="00AF4FC8"/>
    <w:rsid w:val="00AF56EB"/>
    <w:rsid w:val="00AF5763"/>
    <w:rsid w:val="00AF596D"/>
    <w:rsid w:val="00AF652D"/>
    <w:rsid w:val="00AF6C24"/>
    <w:rsid w:val="00AF79A5"/>
    <w:rsid w:val="00AF7C1D"/>
    <w:rsid w:val="00B00595"/>
    <w:rsid w:val="00B018F4"/>
    <w:rsid w:val="00B02832"/>
    <w:rsid w:val="00B03215"/>
    <w:rsid w:val="00B04C29"/>
    <w:rsid w:val="00B05729"/>
    <w:rsid w:val="00B06137"/>
    <w:rsid w:val="00B06364"/>
    <w:rsid w:val="00B064A2"/>
    <w:rsid w:val="00B07077"/>
    <w:rsid w:val="00B077AB"/>
    <w:rsid w:val="00B07DFC"/>
    <w:rsid w:val="00B10F19"/>
    <w:rsid w:val="00B11DE7"/>
    <w:rsid w:val="00B11F5F"/>
    <w:rsid w:val="00B136F1"/>
    <w:rsid w:val="00B1482A"/>
    <w:rsid w:val="00B16EFB"/>
    <w:rsid w:val="00B201E4"/>
    <w:rsid w:val="00B218E3"/>
    <w:rsid w:val="00B21CBA"/>
    <w:rsid w:val="00B222A7"/>
    <w:rsid w:val="00B2255C"/>
    <w:rsid w:val="00B229ED"/>
    <w:rsid w:val="00B232FE"/>
    <w:rsid w:val="00B24940"/>
    <w:rsid w:val="00B24EB4"/>
    <w:rsid w:val="00B27746"/>
    <w:rsid w:val="00B300B5"/>
    <w:rsid w:val="00B30620"/>
    <w:rsid w:val="00B30DB8"/>
    <w:rsid w:val="00B30DF8"/>
    <w:rsid w:val="00B310B7"/>
    <w:rsid w:val="00B32D53"/>
    <w:rsid w:val="00B33295"/>
    <w:rsid w:val="00B33A2E"/>
    <w:rsid w:val="00B3547D"/>
    <w:rsid w:val="00B35598"/>
    <w:rsid w:val="00B35DFB"/>
    <w:rsid w:val="00B364E2"/>
    <w:rsid w:val="00B3724C"/>
    <w:rsid w:val="00B41AC2"/>
    <w:rsid w:val="00B428B6"/>
    <w:rsid w:val="00B42FE0"/>
    <w:rsid w:val="00B4350A"/>
    <w:rsid w:val="00B44787"/>
    <w:rsid w:val="00B4590E"/>
    <w:rsid w:val="00B4591F"/>
    <w:rsid w:val="00B45A84"/>
    <w:rsid w:val="00B46900"/>
    <w:rsid w:val="00B475C0"/>
    <w:rsid w:val="00B479E6"/>
    <w:rsid w:val="00B51254"/>
    <w:rsid w:val="00B5155C"/>
    <w:rsid w:val="00B53E51"/>
    <w:rsid w:val="00B55491"/>
    <w:rsid w:val="00B555B2"/>
    <w:rsid w:val="00B555FC"/>
    <w:rsid w:val="00B5603D"/>
    <w:rsid w:val="00B605F3"/>
    <w:rsid w:val="00B60943"/>
    <w:rsid w:val="00B60C52"/>
    <w:rsid w:val="00B613F4"/>
    <w:rsid w:val="00B61B1A"/>
    <w:rsid w:val="00B637E6"/>
    <w:rsid w:val="00B63ABF"/>
    <w:rsid w:val="00B64292"/>
    <w:rsid w:val="00B642E1"/>
    <w:rsid w:val="00B64C14"/>
    <w:rsid w:val="00B651A4"/>
    <w:rsid w:val="00B66A47"/>
    <w:rsid w:val="00B6724E"/>
    <w:rsid w:val="00B6748C"/>
    <w:rsid w:val="00B677AD"/>
    <w:rsid w:val="00B70871"/>
    <w:rsid w:val="00B709F4"/>
    <w:rsid w:val="00B70E0F"/>
    <w:rsid w:val="00B7109B"/>
    <w:rsid w:val="00B73019"/>
    <w:rsid w:val="00B73ADB"/>
    <w:rsid w:val="00B73C02"/>
    <w:rsid w:val="00B7524A"/>
    <w:rsid w:val="00B752D8"/>
    <w:rsid w:val="00B7664B"/>
    <w:rsid w:val="00B76746"/>
    <w:rsid w:val="00B77564"/>
    <w:rsid w:val="00B77650"/>
    <w:rsid w:val="00B77B67"/>
    <w:rsid w:val="00B805A9"/>
    <w:rsid w:val="00B81372"/>
    <w:rsid w:val="00B81C08"/>
    <w:rsid w:val="00B8231D"/>
    <w:rsid w:val="00B836D8"/>
    <w:rsid w:val="00B83C23"/>
    <w:rsid w:val="00B852C6"/>
    <w:rsid w:val="00B8571B"/>
    <w:rsid w:val="00B85DD7"/>
    <w:rsid w:val="00B86C14"/>
    <w:rsid w:val="00B87AF7"/>
    <w:rsid w:val="00B90EB5"/>
    <w:rsid w:val="00B918F9"/>
    <w:rsid w:val="00B919C3"/>
    <w:rsid w:val="00B9275D"/>
    <w:rsid w:val="00B93161"/>
    <w:rsid w:val="00B93412"/>
    <w:rsid w:val="00B93F5F"/>
    <w:rsid w:val="00B94F56"/>
    <w:rsid w:val="00B95003"/>
    <w:rsid w:val="00B95D38"/>
    <w:rsid w:val="00B961BD"/>
    <w:rsid w:val="00B96695"/>
    <w:rsid w:val="00B97745"/>
    <w:rsid w:val="00B97C65"/>
    <w:rsid w:val="00B97DB6"/>
    <w:rsid w:val="00BA0280"/>
    <w:rsid w:val="00BA107A"/>
    <w:rsid w:val="00BA133E"/>
    <w:rsid w:val="00BA2081"/>
    <w:rsid w:val="00BA294B"/>
    <w:rsid w:val="00BA3169"/>
    <w:rsid w:val="00BA43BA"/>
    <w:rsid w:val="00BA50EC"/>
    <w:rsid w:val="00BA541E"/>
    <w:rsid w:val="00BA59FC"/>
    <w:rsid w:val="00BA7BF8"/>
    <w:rsid w:val="00BA7CA7"/>
    <w:rsid w:val="00BA7DEE"/>
    <w:rsid w:val="00BB0C09"/>
    <w:rsid w:val="00BB11E4"/>
    <w:rsid w:val="00BB16E0"/>
    <w:rsid w:val="00BB2251"/>
    <w:rsid w:val="00BB2A41"/>
    <w:rsid w:val="00BB3BC3"/>
    <w:rsid w:val="00BB5358"/>
    <w:rsid w:val="00BB57F7"/>
    <w:rsid w:val="00BB65E6"/>
    <w:rsid w:val="00BB72BA"/>
    <w:rsid w:val="00BC0494"/>
    <w:rsid w:val="00BC1695"/>
    <w:rsid w:val="00BC1C02"/>
    <w:rsid w:val="00BC2336"/>
    <w:rsid w:val="00BC28F5"/>
    <w:rsid w:val="00BC2BBA"/>
    <w:rsid w:val="00BC570E"/>
    <w:rsid w:val="00BC5878"/>
    <w:rsid w:val="00BC5EB9"/>
    <w:rsid w:val="00BC6D5C"/>
    <w:rsid w:val="00BC7DB9"/>
    <w:rsid w:val="00BD0067"/>
    <w:rsid w:val="00BD0389"/>
    <w:rsid w:val="00BD05D6"/>
    <w:rsid w:val="00BD07FF"/>
    <w:rsid w:val="00BD0B10"/>
    <w:rsid w:val="00BD1DF0"/>
    <w:rsid w:val="00BD1FCD"/>
    <w:rsid w:val="00BD2884"/>
    <w:rsid w:val="00BD2F05"/>
    <w:rsid w:val="00BD308D"/>
    <w:rsid w:val="00BD3879"/>
    <w:rsid w:val="00BD39B7"/>
    <w:rsid w:val="00BD4236"/>
    <w:rsid w:val="00BD5B19"/>
    <w:rsid w:val="00BD6110"/>
    <w:rsid w:val="00BD6189"/>
    <w:rsid w:val="00BD719C"/>
    <w:rsid w:val="00BD7436"/>
    <w:rsid w:val="00BE0969"/>
    <w:rsid w:val="00BE21F9"/>
    <w:rsid w:val="00BE261C"/>
    <w:rsid w:val="00BE3434"/>
    <w:rsid w:val="00BE4919"/>
    <w:rsid w:val="00BE5D84"/>
    <w:rsid w:val="00BE667E"/>
    <w:rsid w:val="00BE6757"/>
    <w:rsid w:val="00BE695A"/>
    <w:rsid w:val="00BE75F2"/>
    <w:rsid w:val="00BE7CA4"/>
    <w:rsid w:val="00BF00D0"/>
    <w:rsid w:val="00BF0CFC"/>
    <w:rsid w:val="00BF163D"/>
    <w:rsid w:val="00BF2A9D"/>
    <w:rsid w:val="00BF2FA9"/>
    <w:rsid w:val="00BF31BC"/>
    <w:rsid w:val="00BF38EB"/>
    <w:rsid w:val="00BF3F12"/>
    <w:rsid w:val="00BF4570"/>
    <w:rsid w:val="00BF4949"/>
    <w:rsid w:val="00BF51F1"/>
    <w:rsid w:val="00BF72F4"/>
    <w:rsid w:val="00BF73E1"/>
    <w:rsid w:val="00BF7F34"/>
    <w:rsid w:val="00C00ED8"/>
    <w:rsid w:val="00C01BF2"/>
    <w:rsid w:val="00C0310C"/>
    <w:rsid w:val="00C0347A"/>
    <w:rsid w:val="00C04A4E"/>
    <w:rsid w:val="00C04DCF"/>
    <w:rsid w:val="00C05881"/>
    <w:rsid w:val="00C05A78"/>
    <w:rsid w:val="00C06EFA"/>
    <w:rsid w:val="00C10402"/>
    <w:rsid w:val="00C1072E"/>
    <w:rsid w:val="00C11003"/>
    <w:rsid w:val="00C11EB2"/>
    <w:rsid w:val="00C11F81"/>
    <w:rsid w:val="00C122F3"/>
    <w:rsid w:val="00C1315E"/>
    <w:rsid w:val="00C135F6"/>
    <w:rsid w:val="00C14B46"/>
    <w:rsid w:val="00C15071"/>
    <w:rsid w:val="00C172D2"/>
    <w:rsid w:val="00C17BEC"/>
    <w:rsid w:val="00C17EF3"/>
    <w:rsid w:val="00C202CF"/>
    <w:rsid w:val="00C21DB5"/>
    <w:rsid w:val="00C222CB"/>
    <w:rsid w:val="00C22845"/>
    <w:rsid w:val="00C25689"/>
    <w:rsid w:val="00C259EC"/>
    <w:rsid w:val="00C26228"/>
    <w:rsid w:val="00C26C1C"/>
    <w:rsid w:val="00C278A9"/>
    <w:rsid w:val="00C27D41"/>
    <w:rsid w:val="00C30D8A"/>
    <w:rsid w:val="00C30E63"/>
    <w:rsid w:val="00C32B01"/>
    <w:rsid w:val="00C32F64"/>
    <w:rsid w:val="00C34969"/>
    <w:rsid w:val="00C34A04"/>
    <w:rsid w:val="00C34CF5"/>
    <w:rsid w:val="00C34DAD"/>
    <w:rsid w:val="00C3570A"/>
    <w:rsid w:val="00C36308"/>
    <w:rsid w:val="00C368AD"/>
    <w:rsid w:val="00C36FB2"/>
    <w:rsid w:val="00C37F17"/>
    <w:rsid w:val="00C404D5"/>
    <w:rsid w:val="00C404D9"/>
    <w:rsid w:val="00C41349"/>
    <w:rsid w:val="00C42610"/>
    <w:rsid w:val="00C43F93"/>
    <w:rsid w:val="00C44744"/>
    <w:rsid w:val="00C451E8"/>
    <w:rsid w:val="00C47777"/>
    <w:rsid w:val="00C47D4A"/>
    <w:rsid w:val="00C50020"/>
    <w:rsid w:val="00C508F4"/>
    <w:rsid w:val="00C510BC"/>
    <w:rsid w:val="00C514F2"/>
    <w:rsid w:val="00C51C9C"/>
    <w:rsid w:val="00C52182"/>
    <w:rsid w:val="00C535BD"/>
    <w:rsid w:val="00C5544B"/>
    <w:rsid w:val="00C56099"/>
    <w:rsid w:val="00C56891"/>
    <w:rsid w:val="00C571A5"/>
    <w:rsid w:val="00C571B0"/>
    <w:rsid w:val="00C602B9"/>
    <w:rsid w:val="00C60992"/>
    <w:rsid w:val="00C61162"/>
    <w:rsid w:val="00C61CFD"/>
    <w:rsid w:val="00C636A8"/>
    <w:rsid w:val="00C63F0E"/>
    <w:rsid w:val="00C640A2"/>
    <w:rsid w:val="00C642D4"/>
    <w:rsid w:val="00C64658"/>
    <w:rsid w:val="00C64EE6"/>
    <w:rsid w:val="00C65415"/>
    <w:rsid w:val="00C66AC7"/>
    <w:rsid w:val="00C66F0A"/>
    <w:rsid w:val="00C67AF8"/>
    <w:rsid w:val="00C71222"/>
    <w:rsid w:val="00C71AC7"/>
    <w:rsid w:val="00C74606"/>
    <w:rsid w:val="00C7497D"/>
    <w:rsid w:val="00C74D58"/>
    <w:rsid w:val="00C74DF0"/>
    <w:rsid w:val="00C75D42"/>
    <w:rsid w:val="00C762C5"/>
    <w:rsid w:val="00C77239"/>
    <w:rsid w:val="00C77925"/>
    <w:rsid w:val="00C8175E"/>
    <w:rsid w:val="00C82405"/>
    <w:rsid w:val="00C8293C"/>
    <w:rsid w:val="00C82C65"/>
    <w:rsid w:val="00C84027"/>
    <w:rsid w:val="00C851D6"/>
    <w:rsid w:val="00C85E2E"/>
    <w:rsid w:val="00C86701"/>
    <w:rsid w:val="00C90056"/>
    <w:rsid w:val="00C906AE"/>
    <w:rsid w:val="00C9081D"/>
    <w:rsid w:val="00C908FA"/>
    <w:rsid w:val="00C90950"/>
    <w:rsid w:val="00C92BE6"/>
    <w:rsid w:val="00C93FBC"/>
    <w:rsid w:val="00C94EA3"/>
    <w:rsid w:val="00C951D0"/>
    <w:rsid w:val="00C9648A"/>
    <w:rsid w:val="00C96FA0"/>
    <w:rsid w:val="00C97246"/>
    <w:rsid w:val="00C972A8"/>
    <w:rsid w:val="00C97319"/>
    <w:rsid w:val="00CA0FDC"/>
    <w:rsid w:val="00CA127C"/>
    <w:rsid w:val="00CA181B"/>
    <w:rsid w:val="00CA3826"/>
    <w:rsid w:val="00CA3841"/>
    <w:rsid w:val="00CA4C5F"/>
    <w:rsid w:val="00CA55B2"/>
    <w:rsid w:val="00CA5A4D"/>
    <w:rsid w:val="00CA5D27"/>
    <w:rsid w:val="00CA6C97"/>
    <w:rsid w:val="00CB0E18"/>
    <w:rsid w:val="00CB1288"/>
    <w:rsid w:val="00CB14D1"/>
    <w:rsid w:val="00CB31D5"/>
    <w:rsid w:val="00CB3264"/>
    <w:rsid w:val="00CB36A7"/>
    <w:rsid w:val="00CB531A"/>
    <w:rsid w:val="00CB67ED"/>
    <w:rsid w:val="00CB7B9D"/>
    <w:rsid w:val="00CC0425"/>
    <w:rsid w:val="00CC14B8"/>
    <w:rsid w:val="00CC14F6"/>
    <w:rsid w:val="00CC1875"/>
    <w:rsid w:val="00CC2212"/>
    <w:rsid w:val="00CC3BDD"/>
    <w:rsid w:val="00CC3FFB"/>
    <w:rsid w:val="00CC4806"/>
    <w:rsid w:val="00CC4E8B"/>
    <w:rsid w:val="00CC5354"/>
    <w:rsid w:val="00CC5D38"/>
    <w:rsid w:val="00CC5EA7"/>
    <w:rsid w:val="00CC70C9"/>
    <w:rsid w:val="00CC7171"/>
    <w:rsid w:val="00CC739C"/>
    <w:rsid w:val="00CC74AD"/>
    <w:rsid w:val="00CC76D8"/>
    <w:rsid w:val="00CC7805"/>
    <w:rsid w:val="00CD1C3F"/>
    <w:rsid w:val="00CD2118"/>
    <w:rsid w:val="00CD21AA"/>
    <w:rsid w:val="00CD2690"/>
    <w:rsid w:val="00CD28B3"/>
    <w:rsid w:val="00CD4A3E"/>
    <w:rsid w:val="00CD74EB"/>
    <w:rsid w:val="00CD74F0"/>
    <w:rsid w:val="00CD78E6"/>
    <w:rsid w:val="00CD7B82"/>
    <w:rsid w:val="00CE0239"/>
    <w:rsid w:val="00CE0AFF"/>
    <w:rsid w:val="00CE1F87"/>
    <w:rsid w:val="00CE44D9"/>
    <w:rsid w:val="00CE49A3"/>
    <w:rsid w:val="00CE4A77"/>
    <w:rsid w:val="00CE58BF"/>
    <w:rsid w:val="00CE5A51"/>
    <w:rsid w:val="00CE5C8F"/>
    <w:rsid w:val="00CE5C93"/>
    <w:rsid w:val="00CE6577"/>
    <w:rsid w:val="00CE65FE"/>
    <w:rsid w:val="00CE6604"/>
    <w:rsid w:val="00CE7667"/>
    <w:rsid w:val="00CF16A5"/>
    <w:rsid w:val="00CF1B46"/>
    <w:rsid w:val="00CF1B4B"/>
    <w:rsid w:val="00CF2A5B"/>
    <w:rsid w:val="00CF4A9C"/>
    <w:rsid w:val="00CF52D6"/>
    <w:rsid w:val="00CF55A2"/>
    <w:rsid w:val="00CF5E04"/>
    <w:rsid w:val="00CF61B1"/>
    <w:rsid w:val="00CF62D1"/>
    <w:rsid w:val="00CF7F55"/>
    <w:rsid w:val="00D01697"/>
    <w:rsid w:val="00D02930"/>
    <w:rsid w:val="00D02AAE"/>
    <w:rsid w:val="00D0349E"/>
    <w:rsid w:val="00D03723"/>
    <w:rsid w:val="00D03C83"/>
    <w:rsid w:val="00D03F66"/>
    <w:rsid w:val="00D04528"/>
    <w:rsid w:val="00D04DA6"/>
    <w:rsid w:val="00D05FDE"/>
    <w:rsid w:val="00D07331"/>
    <w:rsid w:val="00D07566"/>
    <w:rsid w:val="00D10630"/>
    <w:rsid w:val="00D111A0"/>
    <w:rsid w:val="00D1472E"/>
    <w:rsid w:val="00D150F3"/>
    <w:rsid w:val="00D1667B"/>
    <w:rsid w:val="00D16756"/>
    <w:rsid w:val="00D16A2F"/>
    <w:rsid w:val="00D17FFB"/>
    <w:rsid w:val="00D2197C"/>
    <w:rsid w:val="00D2374E"/>
    <w:rsid w:val="00D2385D"/>
    <w:rsid w:val="00D23BCF"/>
    <w:rsid w:val="00D24F9D"/>
    <w:rsid w:val="00D24FCE"/>
    <w:rsid w:val="00D30304"/>
    <w:rsid w:val="00D312E2"/>
    <w:rsid w:val="00D31705"/>
    <w:rsid w:val="00D32028"/>
    <w:rsid w:val="00D32445"/>
    <w:rsid w:val="00D325E1"/>
    <w:rsid w:val="00D32950"/>
    <w:rsid w:val="00D33398"/>
    <w:rsid w:val="00D33475"/>
    <w:rsid w:val="00D34F4A"/>
    <w:rsid w:val="00D3589A"/>
    <w:rsid w:val="00D36894"/>
    <w:rsid w:val="00D37BC7"/>
    <w:rsid w:val="00D37CEF"/>
    <w:rsid w:val="00D37FAD"/>
    <w:rsid w:val="00D413C3"/>
    <w:rsid w:val="00D419F3"/>
    <w:rsid w:val="00D41B31"/>
    <w:rsid w:val="00D41ED5"/>
    <w:rsid w:val="00D43051"/>
    <w:rsid w:val="00D4320A"/>
    <w:rsid w:val="00D43A15"/>
    <w:rsid w:val="00D43DAD"/>
    <w:rsid w:val="00D440B0"/>
    <w:rsid w:val="00D444DF"/>
    <w:rsid w:val="00D4565A"/>
    <w:rsid w:val="00D468C3"/>
    <w:rsid w:val="00D46F36"/>
    <w:rsid w:val="00D50892"/>
    <w:rsid w:val="00D508E2"/>
    <w:rsid w:val="00D50924"/>
    <w:rsid w:val="00D52192"/>
    <w:rsid w:val="00D52CF6"/>
    <w:rsid w:val="00D52D47"/>
    <w:rsid w:val="00D5348A"/>
    <w:rsid w:val="00D53DDD"/>
    <w:rsid w:val="00D5441A"/>
    <w:rsid w:val="00D55AF7"/>
    <w:rsid w:val="00D5605D"/>
    <w:rsid w:val="00D56FB0"/>
    <w:rsid w:val="00D57726"/>
    <w:rsid w:val="00D57D2D"/>
    <w:rsid w:val="00D600C4"/>
    <w:rsid w:val="00D6193C"/>
    <w:rsid w:val="00D61AD3"/>
    <w:rsid w:val="00D61F5D"/>
    <w:rsid w:val="00D62EF7"/>
    <w:rsid w:val="00D63B52"/>
    <w:rsid w:val="00D63CDF"/>
    <w:rsid w:val="00D63F2A"/>
    <w:rsid w:val="00D64AE1"/>
    <w:rsid w:val="00D66382"/>
    <w:rsid w:val="00D66610"/>
    <w:rsid w:val="00D7036A"/>
    <w:rsid w:val="00D7057F"/>
    <w:rsid w:val="00D70779"/>
    <w:rsid w:val="00D70FE8"/>
    <w:rsid w:val="00D718AC"/>
    <w:rsid w:val="00D71E26"/>
    <w:rsid w:val="00D72089"/>
    <w:rsid w:val="00D739F7"/>
    <w:rsid w:val="00D74090"/>
    <w:rsid w:val="00D7560E"/>
    <w:rsid w:val="00D75F32"/>
    <w:rsid w:val="00D76B1C"/>
    <w:rsid w:val="00D77A46"/>
    <w:rsid w:val="00D77AB7"/>
    <w:rsid w:val="00D8135E"/>
    <w:rsid w:val="00D81846"/>
    <w:rsid w:val="00D81F68"/>
    <w:rsid w:val="00D830B6"/>
    <w:rsid w:val="00D83284"/>
    <w:rsid w:val="00D835C7"/>
    <w:rsid w:val="00D836F7"/>
    <w:rsid w:val="00D840C9"/>
    <w:rsid w:val="00D840FA"/>
    <w:rsid w:val="00D843B4"/>
    <w:rsid w:val="00D843D4"/>
    <w:rsid w:val="00D84667"/>
    <w:rsid w:val="00D84868"/>
    <w:rsid w:val="00D852CD"/>
    <w:rsid w:val="00D85953"/>
    <w:rsid w:val="00D859E9"/>
    <w:rsid w:val="00D86637"/>
    <w:rsid w:val="00D879FC"/>
    <w:rsid w:val="00D926DE"/>
    <w:rsid w:val="00D92A58"/>
    <w:rsid w:val="00D933FE"/>
    <w:rsid w:val="00D93418"/>
    <w:rsid w:val="00D93D91"/>
    <w:rsid w:val="00D947DC"/>
    <w:rsid w:val="00D95092"/>
    <w:rsid w:val="00D950B2"/>
    <w:rsid w:val="00D95245"/>
    <w:rsid w:val="00D96426"/>
    <w:rsid w:val="00D96F1C"/>
    <w:rsid w:val="00DA0EC5"/>
    <w:rsid w:val="00DA112B"/>
    <w:rsid w:val="00DA15B0"/>
    <w:rsid w:val="00DA1B5A"/>
    <w:rsid w:val="00DA2212"/>
    <w:rsid w:val="00DA2B29"/>
    <w:rsid w:val="00DA34C5"/>
    <w:rsid w:val="00DA4A9E"/>
    <w:rsid w:val="00DA4CBF"/>
    <w:rsid w:val="00DA4E6B"/>
    <w:rsid w:val="00DA590F"/>
    <w:rsid w:val="00DA5CD8"/>
    <w:rsid w:val="00DA6062"/>
    <w:rsid w:val="00DA6846"/>
    <w:rsid w:val="00DA734B"/>
    <w:rsid w:val="00DA7BDC"/>
    <w:rsid w:val="00DB0629"/>
    <w:rsid w:val="00DB1E62"/>
    <w:rsid w:val="00DB1EFD"/>
    <w:rsid w:val="00DB1FC7"/>
    <w:rsid w:val="00DB2F38"/>
    <w:rsid w:val="00DB3E2A"/>
    <w:rsid w:val="00DB4405"/>
    <w:rsid w:val="00DB47E9"/>
    <w:rsid w:val="00DB4E7E"/>
    <w:rsid w:val="00DB51D4"/>
    <w:rsid w:val="00DB52F7"/>
    <w:rsid w:val="00DB5B5A"/>
    <w:rsid w:val="00DB5DDE"/>
    <w:rsid w:val="00DB6B00"/>
    <w:rsid w:val="00DB70C7"/>
    <w:rsid w:val="00DB78B1"/>
    <w:rsid w:val="00DB7968"/>
    <w:rsid w:val="00DB7E7F"/>
    <w:rsid w:val="00DC10BC"/>
    <w:rsid w:val="00DC16D4"/>
    <w:rsid w:val="00DC211F"/>
    <w:rsid w:val="00DC352B"/>
    <w:rsid w:val="00DC3CFA"/>
    <w:rsid w:val="00DC3D77"/>
    <w:rsid w:val="00DC41EA"/>
    <w:rsid w:val="00DC4210"/>
    <w:rsid w:val="00DC4885"/>
    <w:rsid w:val="00DC4B91"/>
    <w:rsid w:val="00DC53D9"/>
    <w:rsid w:val="00DC5AA5"/>
    <w:rsid w:val="00DC6782"/>
    <w:rsid w:val="00DC68BB"/>
    <w:rsid w:val="00DC70B3"/>
    <w:rsid w:val="00DD0BC1"/>
    <w:rsid w:val="00DD1335"/>
    <w:rsid w:val="00DD13C1"/>
    <w:rsid w:val="00DD1C93"/>
    <w:rsid w:val="00DD264F"/>
    <w:rsid w:val="00DD2AAC"/>
    <w:rsid w:val="00DD31F6"/>
    <w:rsid w:val="00DD3494"/>
    <w:rsid w:val="00DD3A4B"/>
    <w:rsid w:val="00DD4582"/>
    <w:rsid w:val="00DD47D6"/>
    <w:rsid w:val="00DD4C85"/>
    <w:rsid w:val="00DD66F8"/>
    <w:rsid w:val="00DD67B4"/>
    <w:rsid w:val="00DD6B6B"/>
    <w:rsid w:val="00DD7236"/>
    <w:rsid w:val="00DD781F"/>
    <w:rsid w:val="00DD7E47"/>
    <w:rsid w:val="00DD7E76"/>
    <w:rsid w:val="00DE04FF"/>
    <w:rsid w:val="00DE263A"/>
    <w:rsid w:val="00DE280B"/>
    <w:rsid w:val="00DE441C"/>
    <w:rsid w:val="00DE49EA"/>
    <w:rsid w:val="00DE5A04"/>
    <w:rsid w:val="00DE6F39"/>
    <w:rsid w:val="00DE75DE"/>
    <w:rsid w:val="00DF05CF"/>
    <w:rsid w:val="00DF0712"/>
    <w:rsid w:val="00DF07E1"/>
    <w:rsid w:val="00DF1A4E"/>
    <w:rsid w:val="00DF2E0E"/>
    <w:rsid w:val="00DF2E16"/>
    <w:rsid w:val="00DF3ACF"/>
    <w:rsid w:val="00DF3D56"/>
    <w:rsid w:val="00DF3F59"/>
    <w:rsid w:val="00DF4611"/>
    <w:rsid w:val="00DF5F32"/>
    <w:rsid w:val="00DF6972"/>
    <w:rsid w:val="00DF6D69"/>
    <w:rsid w:val="00DF753C"/>
    <w:rsid w:val="00DF7E73"/>
    <w:rsid w:val="00E00186"/>
    <w:rsid w:val="00E01A23"/>
    <w:rsid w:val="00E01CA6"/>
    <w:rsid w:val="00E02D7A"/>
    <w:rsid w:val="00E03824"/>
    <w:rsid w:val="00E03D5E"/>
    <w:rsid w:val="00E04C3D"/>
    <w:rsid w:val="00E05001"/>
    <w:rsid w:val="00E056A9"/>
    <w:rsid w:val="00E0621D"/>
    <w:rsid w:val="00E0679B"/>
    <w:rsid w:val="00E067F4"/>
    <w:rsid w:val="00E06CD5"/>
    <w:rsid w:val="00E0738F"/>
    <w:rsid w:val="00E07418"/>
    <w:rsid w:val="00E07972"/>
    <w:rsid w:val="00E10E5E"/>
    <w:rsid w:val="00E10FA0"/>
    <w:rsid w:val="00E14404"/>
    <w:rsid w:val="00E148E7"/>
    <w:rsid w:val="00E14CF2"/>
    <w:rsid w:val="00E14F4A"/>
    <w:rsid w:val="00E155AD"/>
    <w:rsid w:val="00E15E4A"/>
    <w:rsid w:val="00E16963"/>
    <w:rsid w:val="00E16E11"/>
    <w:rsid w:val="00E17470"/>
    <w:rsid w:val="00E20055"/>
    <w:rsid w:val="00E206BC"/>
    <w:rsid w:val="00E20D38"/>
    <w:rsid w:val="00E22582"/>
    <w:rsid w:val="00E22869"/>
    <w:rsid w:val="00E22B27"/>
    <w:rsid w:val="00E22B82"/>
    <w:rsid w:val="00E22C5E"/>
    <w:rsid w:val="00E24445"/>
    <w:rsid w:val="00E2453A"/>
    <w:rsid w:val="00E25BE4"/>
    <w:rsid w:val="00E26053"/>
    <w:rsid w:val="00E27439"/>
    <w:rsid w:val="00E27B95"/>
    <w:rsid w:val="00E3111F"/>
    <w:rsid w:val="00E340DE"/>
    <w:rsid w:val="00E358CE"/>
    <w:rsid w:val="00E358EC"/>
    <w:rsid w:val="00E35B66"/>
    <w:rsid w:val="00E36895"/>
    <w:rsid w:val="00E411FB"/>
    <w:rsid w:val="00E41E76"/>
    <w:rsid w:val="00E424F3"/>
    <w:rsid w:val="00E42D7B"/>
    <w:rsid w:val="00E437D0"/>
    <w:rsid w:val="00E44C98"/>
    <w:rsid w:val="00E455A9"/>
    <w:rsid w:val="00E4665B"/>
    <w:rsid w:val="00E50354"/>
    <w:rsid w:val="00E5045B"/>
    <w:rsid w:val="00E506FD"/>
    <w:rsid w:val="00E5071C"/>
    <w:rsid w:val="00E51C5A"/>
    <w:rsid w:val="00E52983"/>
    <w:rsid w:val="00E555ED"/>
    <w:rsid w:val="00E57392"/>
    <w:rsid w:val="00E62916"/>
    <w:rsid w:val="00E631C6"/>
    <w:rsid w:val="00E63C1D"/>
    <w:rsid w:val="00E6406F"/>
    <w:rsid w:val="00E64315"/>
    <w:rsid w:val="00E64500"/>
    <w:rsid w:val="00E64867"/>
    <w:rsid w:val="00E64B2F"/>
    <w:rsid w:val="00E64C9C"/>
    <w:rsid w:val="00E65777"/>
    <w:rsid w:val="00E6632A"/>
    <w:rsid w:val="00E66962"/>
    <w:rsid w:val="00E671AD"/>
    <w:rsid w:val="00E70020"/>
    <w:rsid w:val="00E7068E"/>
    <w:rsid w:val="00E71894"/>
    <w:rsid w:val="00E72B3B"/>
    <w:rsid w:val="00E73418"/>
    <w:rsid w:val="00E74201"/>
    <w:rsid w:val="00E74798"/>
    <w:rsid w:val="00E751E4"/>
    <w:rsid w:val="00E76CF8"/>
    <w:rsid w:val="00E76D19"/>
    <w:rsid w:val="00E770EA"/>
    <w:rsid w:val="00E77415"/>
    <w:rsid w:val="00E77844"/>
    <w:rsid w:val="00E808E3"/>
    <w:rsid w:val="00E822A3"/>
    <w:rsid w:val="00E824D6"/>
    <w:rsid w:val="00E83203"/>
    <w:rsid w:val="00E8372F"/>
    <w:rsid w:val="00E83A8F"/>
    <w:rsid w:val="00E84BEC"/>
    <w:rsid w:val="00E84D6C"/>
    <w:rsid w:val="00E85188"/>
    <w:rsid w:val="00E85628"/>
    <w:rsid w:val="00E90F10"/>
    <w:rsid w:val="00E911FE"/>
    <w:rsid w:val="00E9179A"/>
    <w:rsid w:val="00E91D53"/>
    <w:rsid w:val="00E92128"/>
    <w:rsid w:val="00E92DEB"/>
    <w:rsid w:val="00E92E56"/>
    <w:rsid w:val="00E93149"/>
    <w:rsid w:val="00E93321"/>
    <w:rsid w:val="00E94950"/>
    <w:rsid w:val="00E94A8E"/>
    <w:rsid w:val="00E95959"/>
    <w:rsid w:val="00E95C22"/>
    <w:rsid w:val="00E95D0F"/>
    <w:rsid w:val="00E9627B"/>
    <w:rsid w:val="00E96FDF"/>
    <w:rsid w:val="00E971F4"/>
    <w:rsid w:val="00EA011C"/>
    <w:rsid w:val="00EA0BAC"/>
    <w:rsid w:val="00EA1521"/>
    <w:rsid w:val="00EA16A4"/>
    <w:rsid w:val="00EA195D"/>
    <w:rsid w:val="00EA2D07"/>
    <w:rsid w:val="00EA3298"/>
    <w:rsid w:val="00EA4FF5"/>
    <w:rsid w:val="00EA50B3"/>
    <w:rsid w:val="00EA52F4"/>
    <w:rsid w:val="00EA54B9"/>
    <w:rsid w:val="00EA5C22"/>
    <w:rsid w:val="00EA6492"/>
    <w:rsid w:val="00EA6A68"/>
    <w:rsid w:val="00EB08EE"/>
    <w:rsid w:val="00EB0D6B"/>
    <w:rsid w:val="00EB126D"/>
    <w:rsid w:val="00EB1FC1"/>
    <w:rsid w:val="00EB2231"/>
    <w:rsid w:val="00EB2299"/>
    <w:rsid w:val="00EB253C"/>
    <w:rsid w:val="00EB2597"/>
    <w:rsid w:val="00EB2675"/>
    <w:rsid w:val="00EB29E5"/>
    <w:rsid w:val="00EB2AD0"/>
    <w:rsid w:val="00EB2EDE"/>
    <w:rsid w:val="00EB3438"/>
    <w:rsid w:val="00EB395C"/>
    <w:rsid w:val="00EB398E"/>
    <w:rsid w:val="00EB3A31"/>
    <w:rsid w:val="00EB49B2"/>
    <w:rsid w:val="00EB4AD4"/>
    <w:rsid w:val="00EB4CE6"/>
    <w:rsid w:val="00EB4F54"/>
    <w:rsid w:val="00EB56D5"/>
    <w:rsid w:val="00EB5D05"/>
    <w:rsid w:val="00EB72D9"/>
    <w:rsid w:val="00EB7487"/>
    <w:rsid w:val="00EB79A0"/>
    <w:rsid w:val="00EB7F54"/>
    <w:rsid w:val="00EC0181"/>
    <w:rsid w:val="00EC0696"/>
    <w:rsid w:val="00EC0D6F"/>
    <w:rsid w:val="00EC1EC3"/>
    <w:rsid w:val="00EC3036"/>
    <w:rsid w:val="00EC470F"/>
    <w:rsid w:val="00EC4EB4"/>
    <w:rsid w:val="00EC5CFF"/>
    <w:rsid w:val="00EC63D3"/>
    <w:rsid w:val="00EC69C1"/>
    <w:rsid w:val="00EC6EFB"/>
    <w:rsid w:val="00ED0CD7"/>
    <w:rsid w:val="00ED14C3"/>
    <w:rsid w:val="00ED198D"/>
    <w:rsid w:val="00ED1D50"/>
    <w:rsid w:val="00ED428D"/>
    <w:rsid w:val="00ED43ED"/>
    <w:rsid w:val="00ED482A"/>
    <w:rsid w:val="00ED5A71"/>
    <w:rsid w:val="00EE27E4"/>
    <w:rsid w:val="00EE4019"/>
    <w:rsid w:val="00EE49F4"/>
    <w:rsid w:val="00EE4CF0"/>
    <w:rsid w:val="00EE4EB1"/>
    <w:rsid w:val="00EE7101"/>
    <w:rsid w:val="00EE7BE1"/>
    <w:rsid w:val="00EE7F84"/>
    <w:rsid w:val="00EF0191"/>
    <w:rsid w:val="00EF0768"/>
    <w:rsid w:val="00EF0C5D"/>
    <w:rsid w:val="00EF0CC9"/>
    <w:rsid w:val="00EF1BA9"/>
    <w:rsid w:val="00EF44AD"/>
    <w:rsid w:val="00EF4BE3"/>
    <w:rsid w:val="00EF588C"/>
    <w:rsid w:val="00EF7701"/>
    <w:rsid w:val="00F00ED4"/>
    <w:rsid w:val="00F01781"/>
    <w:rsid w:val="00F0413E"/>
    <w:rsid w:val="00F04282"/>
    <w:rsid w:val="00F0489A"/>
    <w:rsid w:val="00F07F9E"/>
    <w:rsid w:val="00F101B9"/>
    <w:rsid w:val="00F107D3"/>
    <w:rsid w:val="00F124E7"/>
    <w:rsid w:val="00F126F9"/>
    <w:rsid w:val="00F13A4F"/>
    <w:rsid w:val="00F14C21"/>
    <w:rsid w:val="00F15060"/>
    <w:rsid w:val="00F15335"/>
    <w:rsid w:val="00F15E82"/>
    <w:rsid w:val="00F16075"/>
    <w:rsid w:val="00F17DEE"/>
    <w:rsid w:val="00F17EDF"/>
    <w:rsid w:val="00F20E5B"/>
    <w:rsid w:val="00F210FB"/>
    <w:rsid w:val="00F2247A"/>
    <w:rsid w:val="00F22ED2"/>
    <w:rsid w:val="00F22F9D"/>
    <w:rsid w:val="00F23538"/>
    <w:rsid w:val="00F24451"/>
    <w:rsid w:val="00F25C01"/>
    <w:rsid w:val="00F25C6A"/>
    <w:rsid w:val="00F25D95"/>
    <w:rsid w:val="00F266ED"/>
    <w:rsid w:val="00F26795"/>
    <w:rsid w:val="00F30B2A"/>
    <w:rsid w:val="00F30B51"/>
    <w:rsid w:val="00F30CBB"/>
    <w:rsid w:val="00F30EB1"/>
    <w:rsid w:val="00F31882"/>
    <w:rsid w:val="00F31B4C"/>
    <w:rsid w:val="00F33CFB"/>
    <w:rsid w:val="00F35926"/>
    <w:rsid w:val="00F35E0C"/>
    <w:rsid w:val="00F36247"/>
    <w:rsid w:val="00F375F4"/>
    <w:rsid w:val="00F3785B"/>
    <w:rsid w:val="00F41C4E"/>
    <w:rsid w:val="00F4265E"/>
    <w:rsid w:val="00F439EC"/>
    <w:rsid w:val="00F43CE5"/>
    <w:rsid w:val="00F446F1"/>
    <w:rsid w:val="00F451D4"/>
    <w:rsid w:val="00F458CA"/>
    <w:rsid w:val="00F472E8"/>
    <w:rsid w:val="00F47B3B"/>
    <w:rsid w:val="00F47DE6"/>
    <w:rsid w:val="00F50333"/>
    <w:rsid w:val="00F5239A"/>
    <w:rsid w:val="00F527EF"/>
    <w:rsid w:val="00F52B84"/>
    <w:rsid w:val="00F5335F"/>
    <w:rsid w:val="00F533F3"/>
    <w:rsid w:val="00F5483A"/>
    <w:rsid w:val="00F54C5A"/>
    <w:rsid w:val="00F5542B"/>
    <w:rsid w:val="00F5595B"/>
    <w:rsid w:val="00F562AB"/>
    <w:rsid w:val="00F56BFE"/>
    <w:rsid w:val="00F57F6B"/>
    <w:rsid w:val="00F61561"/>
    <w:rsid w:val="00F61ECF"/>
    <w:rsid w:val="00F632DD"/>
    <w:rsid w:val="00F635B9"/>
    <w:rsid w:val="00F64587"/>
    <w:rsid w:val="00F66905"/>
    <w:rsid w:val="00F66A26"/>
    <w:rsid w:val="00F67293"/>
    <w:rsid w:val="00F674F7"/>
    <w:rsid w:val="00F70B09"/>
    <w:rsid w:val="00F70B9B"/>
    <w:rsid w:val="00F70F43"/>
    <w:rsid w:val="00F73A78"/>
    <w:rsid w:val="00F77891"/>
    <w:rsid w:val="00F80E36"/>
    <w:rsid w:val="00F825BD"/>
    <w:rsid w:val="00F83186"/>
    <w:rsid w:val="00F83CA8"/>
    <w:rsid w:val="00F840E5"/>
    <w:rsid w:val="00F84675"/>
    <w:rsid w:val="00F846D9"/>
    <w:rsid w:val="00F84F0B"/>
    <w:rsid w:val="00F850EE"/>
    <w:rsid w:val="00F8532F"/>
    <w:rsid w:val="00F85B1B"/>
    <w:rsid w:val="00F85D28"/>
    <w:rsid w:val="00F87E36"/>
    <w:rsid w:val="00F90571"/>
    <w:rsid w:val="00F915EA"/>
    <w:rsid w:val="00F92944"/>
    <w:rsid w:val="00F93922"/>
    <w:rsid w:val="00F939E5"/>
    <w:rsid w:val="00F94040"/>
    <w:rsid w:val="00F9433A"/>
    <w:rsid w:val="00F9451F"/>
    <w:rsid w:val="00F949E0"/>
    <w:rsid w:val="00F94DD3"/>
    <w:rsid w:val="00F951ED"/>
    <w:rsid w:val="00F96556"/>
    <w:rsid w:val="00FA00DE"/>
    <w:rsid w:val="00FA0B3B"/>
    <w:rsid w:val="00FA1F84"/>
    <w:rsid w:val="00FA2528"/>
    <w:rsid w:val="00FA2773"/>
    <w:rsid w:val="00FA2E76"/>
    <w:rsid w:val="00FA2F19"/>
    <w:rsid w:val="00FA3652"/>
    <w:rsid w:val="00FA56F6"/>
    <w:rsid w:val="00FA610C"/>
    <w:rsid w:val="00FA7724"/>
    <w:rsid w:val="00FA7AB4"/>
    <w:rsid w:val="00FB0B7F"/>
    <w:rsid w:val="00FB2038"/>
    <w:rsid w:val="00FB4A48"/>
    <w:rsid w:val="00FB62F5"/>
    <w:rsid w:val="00FB78C9"/>
    <w:rsid w:val="00FB7C49"/>
    <w:rsid w:val="00FC071D"/>
    <w:rsid w:val="00FC0D03"/>
    <w:rsid w:val="00FC1011"/>
    <w:rsid w:val="00FC1FC0"/>
    <w:rsid w:val="00FC24AA"/>
    <w:rsid w:val="00FC263E"/>
    <w:rsid w:val="00FC2654"/>
    <w:rsid w:val="00FC2DB8"/>
    <w:rsid w:val="00FC3743"/>
    <w:rsid w:val="00FC4466"/>
    <w:rsid w:val="00FC48D8"/>
    <w:rsid w:val="00FC4F45"/>
    <w:rsid w:val="00FC5D78"/>
    <w:rsid w:val="00FC60A0"/>
    <w:rsid w:val="00FC6416"/>
    <w:rsid w:val="00FC663A"/>
    <w:rsid w:val="00FC6AAE"/>
    <w:rsid w:val="00FC7E39"/>
    <w:rsid w:val="00FD06E2"/>
    <w:rsid w:val="00FD0EC6"/>
    <w:rsid w:val="00FD1424"/>
    <w:rsid w:val="00FD183D"/>
    <w:rsid w:val="00FD1FCD"/>
    <w:rsid w:val="00FD2DAD"/>
    <w:rsid w:val="00FD3916"/>
    <w:rsid w:val="00FD4702"/>
    <w:rsid w:val="00FD4D61"/>
    <w:rsid w:val="00FD5525"/>
    <w:rsid w:val="00FD6826"/>
    <w:rsid w:val="00FD696F"/>
    <w:rsid w:val="00FD74ED"/>
    <w:rsid w:val="00FD7E5E"/>
    <w:rsid w:val="00FE049C"/>
    <w:rsid w:val="00FE0E44"/>
    <w:rsid w:val="00FE121B"/>
    <w:rsid w:val="00FE256B"/>
    <w:rsid w:val="00FE271A"/>
    <w:rsid w:val="00FE32DD"/>
    <w:rsid w:val="00FE3DAC"/>
    <w:rsid w:val="00FE42DD"/>
    <w:rsid w:val="00FE45A0"/>
    <w:rsid w:val="00FE55EC"/>
    <w:rsid w:val="00FE597C"/>
    <w:rsid w:val="00FE76BE"/>
    <w:rsid w:val="00FE7B54"/>
    <w:rsid w:val="00FF022B"/>
    <w:rsid w:val="00FF12CD"/>
    <w:rsid w:val="00FF15ED"/>
    <w:rsid w:val="00FF2409"/>
    <w:rsid w:val="00FF24CD"/>
    <w:rsid w:val="00FF3C69"/>
    <w:rsid w:val="00FF3C6A"/>
    <w:rsid w:val="00FF4006"/>
    <w:rsid w:val="00FF4DEF"/>
    <w:rsid w:val="00FF5013"/>
    <w:rsid w:val="00FF537F"/>
    <w:rsid w:val="00FF53E0"/>
    <w:rsid w:val="00FF5C70"/>
    <w:rsid w:val="00FF66B0"/>
    <w:rsid w:val="00FF716E"/>
    <w:rsid w:val="012D2227"/>
    <w:rsid w:val="013C06BC"/>
    <w:rsid w:val="01441010"/>
    <w:rsid w:val="01675739"/>
    <w:rsid w:val="018B0192"/>
    <w:rsid w:val="01A87AFF"/>
    <w:rsid w:val="01B6046E"/>
    <w:rsid w:val="01D803E5"/>
    <w:rsid w:val="01DF5C17"/>
    <w:rsid w:val="01E10017"/>
    <w:rsid w:val="02054F52"/>
    <w:rsid w:val="020D5F48"/>
    <w:rsid w:val="02201D8C"/>
    <w:rsid w:val="022E6257"/>
    <w:rsid w:val="025A34EF"/>
    <w:rsid w:val="028642E4"/>
    <w:rsid w:val="02C14528"/>
    <w:rsid w:val="034A70C0"/>
    <w:rsid w:val="035148F2"/>
    <w:rsid w:val="03562292"/>
    <w:rsid w:val="037800D1"/>
    <w:rsid w:val="03885E3A"/>
    <w:rsid w:val="03BE185C"/>
    <w:rsid w:val="04073203"/>
    <w:rsid w:val="046A11DB"/>
    <w:rsid w:val="04814D63"/>
    <w:rsid w:val="04846602"/>
    <w:rsid w:val="04893C18"/>
    <w:rsid w:val="048C54B6"/>
    <w:rsid w:val="04AE7B23"/>
    <w:rsid w:val="04D94B9F"/>
    <w:rsid w:val="04E83035"/>
    <w:rsid w:val="04F574FF"/>
    <w:rsid w:val="051357A8"/>
    <w:rsid w:val="05322502"/>
    <w:rsid w:val="053718C6"/>
    <w:rsid w:val="053F077B"/>
    <w:rsid w:val="055406CA"/>
    <w:rsid w:val="05A36F5B"/>
    <w:rsid w:val="05CA098C"/>
    <w:rsid w:val="06255BC2"/>
    <w:rsid w:val="065564A8"/>
    <w:rsid w:val="067D155B"/>
    <w:rsid w:val="069D1BFD"/>
    <w:rsid w:val="06DA4BFF"/>
    <w:rsid w:val="07322345"/>
    <w:rsid w:val="074D53D1"/>
    <w:rsid w:val="075E75DE"/>
    <w:rsid w:val="07762B7A"/>
    <w:rsid w:val="07D653C6"/>
    <w:rsid w:val="080C703A"/>
    <w:rsid w:val="08805332"/>
    <w:rsid w:val="08A70B11"/>
    <w:rsid w:val="08A74FB5"/>
    <w:rsid w:val="08D00067"/>
    <w:rsid w:val="08DA0EE6"/>
    <w:rsid w:val="09045F63"/>
    <w:rsid w:val="090E6DE2"/>
    <w:rsid w:val="099A2423"/>
    <w:rsid w:val="09D771D4"/>
    <w:rsid w:val="0A4A209B"/>
    <w:rsid w:val="0A64315D"/>
    <w:rsid w:val="0A754E49"/>
    <w:rsid w:val="0A943317"/>
    <w:rsid w:val="0AAE43D8"/>
    <w:rsid w:val="0AB64D67"/>
    <w:rsid w:val="0AF344E1"/>
    <w:rsid w:val="0B073AE9"/>
    <w:rsid w:val="0B2B3C7B"/>
    <w:rsid w:val="0B8C15FE"/>
    <w:rsid w:val="0B93537C"/>
    <w:rsid w:val="0B9F1F73"/>
    <w:rsid w:val="0BD25EA5"/>
    <w:rsid w:val="0C272694"/>
    <w:rsid w:val="0C62191E"/>
    <w:rsid w:val="0CFD51A3"/>
    <w:rsid w:val="0D10137A"/>
    <w:rsid w:val="0D682F64"/>
    <w:rsid w:val="0DAD6BC9"/>
    <w:rsid w:val="0E3270CE"/>
    <w:rsid w:val="0E3966AF"/>
    <w:rsid w:val="0E8E295A"/>
    <w:rsid w:val="0EEF6D6E"/>
    <w:rsid w:val="0F340C24"/>
    <w:rsid w:val="0F4F5E60"/>
    <w:rsid w:val="0FB87AA7"/>
    <w:rsid w:val="0FCE2E27"/>
    <w:rsid w:val="102A2753"/>
    <w:rsid w:val="10394744"/>
    <w:rsid w:val="106519DD"/>
    <w:rsid w:val="106A7434"/>
    <w:rsid w:val="107B2FAF"/>
    <w:rsid w:val="108C51BC"/>
    <w:rsid w:val="10DC1574"/>
    <w:rsid w:val="110C1E59"/>
    <w:rsid w:val="11515ABE"/>
    <w:rsid w:val="11671785"/>
    <w:rsid w:val="11673533"/>
    <w:rsid w:val="11867E5D"/>
    <w:rsid w:val="1198193E"/>
    <w:rsid w:val="11A8494D"/>
    <w:rsid w:val="11C95F9C"/>
    <w:rsid w:val="11D72467"/>
    <w:rsid w:val="11DA1F57"/>
    <w:rsid w:val="1209283C"/>
    <w:rsid w:val="120945EA"/>
    <w:rsid w:val="127203E1"/>
    <w:rsid w:val="12791770"/>
    <w:rsid w:val="129B16E6"/>
    <w:rsid w:val="12B15CFA"/>
    <w:rsid w:val="12C005A8"/>
    <w:rsid w:val="12ED4DAB"/>
    <w:rsid w:val="12F6524A"/>
    <w:rsid w:val="12F9640D"/>
    <w:rsid w:val="13153255"/>
    <w:rsid w:val="13370CE3"/>
    <w:rsid w:val="133B28A7"/>
    <w:rsid w:val="1344704A"/>
    <w:rsid w:val="13AC347F"/>
    <w:rsid w:val="13B30CB1"/>
    <w:rsid w:val="13F07810"/>
    <w:rsid w:val="14104B88"/>
    <w:rsid w:val="141C0605"/>
    <w:rsid w:val="1426233C"/>
    <w:rsid w:val="14305E5E"/>
    <w:rsid w:val="14425B91"/>
    <w:rsid w:val="14636234"/>
    <w:rsid w:val="147F0B94"/>
    <w:rsid w:val="14904B4F"/>
    <w:rsid w:val="14BE16BC"/>
    <w:rsid w:val="14D507B4"/>
    <w:rsid w:val="14E60C13"/>
    <w:rsid w:val="15477903"/>
    <w:rsid w:val="1571672E"/>
    <w:rsid w:val="157601E9"/>
    <w:rsid w:val="15A9236C"/>
    <w:rsid w:val="15C56A7A"/>
    <w:rsid w:val="15FA2BC8"/>
    <w:rsid w:val="161B48EC"/>
    <w:rsid w:val="16331C36"/>
    <w:rsid w:val="163A7468"/>
    <w:rsid w:val="16663DB9"/>
    <w:rsid w:val="16D36F75"/>
    <w:rsid w:val="172B6E85"/>
    <w:rsid w:val="178D1819"/>
    <w:rsid w:val="17A252C5"/>
    <w:rsid w:val="17CA65CA"/>
    <w:rsid w:val="18023FB5"/>
    <w:rsid w:val="18167A61"/>
    <w:rsid w:val="181F6915"/>
    <w:rsid w:val="188350F6"/>
    <w:rsid w:val="1888270D"/>
    <w:rsid w:val="18901EE1"/>
    <w:rsid w:val="18C33745"/>
    <w:rsid w:val="18E467A7"/>
    <w:rsid w:val="18EF0D8E"/>
    <w:rsid w:val="18F90F15"/>
    <w:rsid w:val="19063631"/>
    <w:rsid w:val="1912647A"/>
    <w:rsid w:val="194128BC"/>
    <w:rsid w:val="195C76F5"/>
    <w:rsid w:val="197B401B"/>
    <w:rsid w:val="19D43730"/>
    <w:rsid w:val="19D92AF4"/>
    <w:rsid w:val="19F811CC"/>
    <w:rsid w:val="1A9C249F"/>
    <w:rsid w:val="1ADE33EA"/>
    <w:rsid w:val="1B2B3823"/>
    <w:rsid w:val="1B3307BA"/>
    <w:rsid w:val="1B4346C9"/>
    <w:rsid w:val="1B4F12C0"/>
    <w:rsid w:val="1B5508A0"/>
    <w:rsid w:val="1B776A68"/>
    <w:rsid w:val="1BCD2132"/>
    <w:rsid w:val="1BF41FC2"/>
    <w:rsid w:val="1C450915"/>
    <w:rsid w:val="1C5B3C94"/>
    <w:rsid w:val="1C8054A9"/>
    <w:rsid w:val="1CD852E5"/>
    <w:rsid w:val="1CDF2201"/>
    <w:rsid w:val="1CF77E61"/>
    <w:rsid w:val="1CF814E3"/>
    <w:rsid w:val="1D177E2B"/>
    <w:rsid w:val="1D32733A"/>
    <w:rsid w:val="1D540E0F"/>
    <w:rsid w:val="1D951428"/>
    <w:rsid w:val="1DA90A2F"/>
    <w:rsid w:val="1DAB5C39"/>
    <w:rsid w:val="1DF12B02"/>
    <w:rsid w:val="1DF4614E"/>
    <w:rsid w:val="1E0740D4"/>
    <w:rsid w:val="1E472722"/>
    <w:rsid w:val="1E4B75CC"/>
    <w:rsid w:val="1E543091"/>
    <w:rsid w:val="1E7B6870"/>
    <w:rsid w:val="1EBB4EBE"/>
    <w:rsid w:val="1EE2244B"/>
    <w:rsid w:val="1F182311"/>
    <w:rsid w:val="1F2E5389"/>
    <w:rsid w:val="1F5A6485"/>
    <w:rsid w:val="1F737547"/>
    <w:rsid w:val="1F751511"/>
    <w:rsid w:val="1F792DAF"/>
    <w:rsid w:val="1F7E7854"/>
    <w:rsid w:val="1F951C78"/>
    <w:rsid w:val="1F973235"/>
    <w:rsid w:val="1F9747AE"/>
    <w:rsid w:val="1FB21E1D"/>
    <w:rsid w:val="1FC009DE"/>
    <w:rsid w:val="1FFC753C"/>
    <w:rsid w:val="20337402"/>
    <w:rsid w:val="20515ADA"/>
    <w:rsid w:val="20CF4C51"/>
    <w:rsid w:val="20D65FDF"/>
    <w:rsid w:val="20FC21BE"/>
    <w:rsid w:val="20FD531A"/>
    <w:rsid w:val="210963B5"/>
    <w:rsid w:val="213760C2"/>
    <w:rsid w:val="21507B40"/>
    <w:rsid w:val="215C64E4"/>
    <w:rsid w:val="2186784F"/>
    <w:rsid w:val="21CD73E2"/>
    <w:rsid w:val="21E72464"/>
    <w:rsid w:val="21EF545F"/>
    <w:rsid w:val="222F3BF9"/>
    <w:rsid w:val="226338A3"/>
    <w:rsid w:val="22680EB9"/>
    <w:rsid w:val="226D092A"/>
    <w:rsid w:val="22A75E85"/>
    <w:rsid w:val="22F97D63"/>
    <w:rsid w:val="231F3C6E"/>
    <w:rsid w:val="23495F2F"/>
    <w:rsid w:val="23671171"/>
    <w:rsid w:val="239F6B5C"/>
    <w:rsid w:val="23B56380"/>
    <w:rsid w:val="2423778D"/>
    <w:rsid w:val="24596D0B"/>
    <w:rsid w:val="24A501A2"/>
    <w:rsid w:val="24C146A4"/>
    <w:rsid w:val="24E231A5"/>
    <w:rsid w:val="24F62231"/>
    <w:rsid w:val="253A4D8F"/>
    <w:rsid w:val="253B28B5"/>
    <w:rsid w:val="25493224"/>
    <w:rsid w:val="2564782D"/>
    <w:rsid w:val="25B20DC9"/>
    <w:rsid w:val="25C603D0"/>
    <w:rsid w:val="25CD5C03"/>
    <w:rsid w:val="264063E5"/>
    <w:rsid w:val="26632980"/>
    <w:rsid w:val="266D6A9E"/>
    <w:rsid w:val="26CD578F"/>
    <w:rsid w:val="26CF1507"/>
    <w:rsid w:val="26EE169C"/>
    <w:rsid w:val="26F40F6D"/>
    <w:rsid w:val="271B0BF0"/>
    <w:rsid w:val="275163C0"/>
    <w:rsid w:val="27693709"/>
    <w:rsid w:val="27BD1CA7"/>
    <w:rsid w:val="27D56FF1"/>
    <w:rsid w:val="27DF1C1D"/>
    <w:rsid w:val="28213FE4"/>
    <w:rsid w:val="284B2E0F"/>
    <w:rsid w:val="28580442"/>
    <w:rsid w:val="28904CC6"/>
    <w:rsid w:val="28914878"/>
    <w:rsid w:val="290D6316"/>
    <w:rsid w:val="291678C1"/>
    <w:rsid w:val="297D16EE"/>
    <w:rsid w:val="298E38FB"/>
    <w:rsid w:val="299F1664"/>
    <w:rsid w:val="29A44ECD"/>
    <w:rsid w:val="2A082BA9"/>
    <w:rsid w:val="2A0911D4"/>
    <w:rsid w:val="2A4B359A"/>
    <w:rsid w:val="2A4E4E38"/>
    <w:rsid w:val="2A6A6A6D"/>
    <w:rsid w:val="2AEA4B61"/>
    <w:rsid w:val="2AFA28CA"/>
    <w:rsid w:val="2B006133"/>
    <w:rsid w:val="2B2D2CA0"/>
    <w:rsid w:val="2B534A3A"/>
    <w:rsid w:val="2B560448"/>
    <w:rsid w:val="2B9E594C"/>
    <w:rsid w:val="2BCF7BF5"/>
    <w:rsid w:val="2BDA2E28"/>
    <w:rsid w:val="2BDE3F9A"/>
    <w:rsid w:val="2C1520B2"/>
    <w:rsid w:val="2C1F4CDE"/>
    <w:rsid w:val="2C8E59C0"/>
    <w:rsid w:val="2CC969F8"/>
    <w:rsid w:val="2CCA2E9C"/>
    <w:rsid w:val="2CE33F5E"/>
    <w:rsid w:val="2CE3753C"/>
    <w:rsid w:val="2CE51A84"/>
    <w:rsid w:val="2CE675AA"/>
    <w:rsid w:val="2D376058"/>
    <w:rsid w:val="2D8D7A26"/>
    <w:rsid w:val="2DC84F02"/>
    <w:rsid w:val="2DEF248E"/>
    <w:rsid w:val="2DF14458"/>
    <w:rsid w:val="2DFD104F"/>
    <w:rsid w:val="2E1819E5"/>
    <w:rsid w:val="2E56075F"/>
    <w:rsid w:val="2E717347"/>
    <w:rsid w:val="2E8B21B7"/>
    <w:rsid w:val="2E975000"/>
    <w:rsid w:val="2EAB2859"/>
    <w:rsid w:val="2EED0096"/>
    <w:rsid w:val="2EF73CF0"/>
    <w:rsid w:val="2F266384"/>
    <w:rsid w:val="2F37233F"/>
    <w:rsid w:val="2F520F27"/>
    <w:rsid w:val="2F69244D"/>
    <w:rsid w:val="2F837332"/>
    <w:rsid w:val="2FCC6F2B"/>
    <w:rsid w:val="301937F3"/>
    <w:rsid w:val="30336FAA"/>
    <w:rsid w:val="305059FA"/>
    <w:rsid w:val="30703D5A"/>
    <w:rsid w:val="30AF6576"/>
    <w:rsid w:val="30C65728"/>
    <w:rsid w:val="30ED7159"/>
    <w:rsid w:val="310D77FB"/>
    <w:rsid w:val="31124E12"/>
    <w:rsid w:val="314B0324"/>
    <w:rsid w:val="31605B7D"/>
    <w:rsid w:val="316118F5"/>
    <w:rsid w:val="31D75713"/>
    <w:rsid w:val="31FC33CC"/>
    <w:rsid w:val="320F57FE"/>
    <w:rsid w:val="32430FFB"/>
    <w:rsid w:val="326A2A2B"/>
    <w:rsid w:val="32A55811"/>
    <w:rsid w:val="32A63A63"/>
    <w:rsid w:val="32B0421D"/>
    <w:rsid w:val="32BF0A34"/>
    <w:rsid w:val="32C75788"/>
    <w:rsid w:val="32DF2AD1"/>
    <w:rsid w:val="32E91BA2"/>
    <w:rsid w:val="33770F5C"/>
    <w:rsid w:val="33874958"/>
    <w:rsid w:val="338E62A6"/>
    <w:rsid w:val="33C57F19"/>
    <w:rsid w:val="343C3F54"/>
    <w:rsid w:val="34525525"/>
    <w:rsid w:val="346239BA"/>
    <w:rsid w:val="347100A1"/>
    <w:rsid w:val="347B0F20"/>
    <w:rsid w:val="34833930"/>
    <w:rsid w:val="34951FE2"/>
    <w:rsid w:val="34A044E2"/>
    <w:rsid w:val="35040F15"/>
    <w:rsid w:val="35074561"/>
    <w:rsid w:val="3578720D"/>
    <w:rsid w:val="3583008C"/>
    <w:rsid w:val="36962041"/>
    <w:rsid w:val="36B129D7"/>
    <w:rsid w:val="3700050E"/>
    <w:rsid w:val="371A67E9"/>
    <w:rsid w:val="372F1B4E"/>
    <w:rsid w:val="37381939"/>
    <w:rsid w:val="3756532C"/>
    <w:rsid w:val="37695060"/>
    <w:rsid w:val="376E08C8"/>
    <w:rsid w:val="37AD78A8"/>
    <w:rsid w:val="37B207B5"/>
    <w:rsid w:val="37E666B0"/>
    <w:rsid w:val="384B29B7"/>
    <w:rsid w:val="38740160"/>
    <w:rsid w:val="38795776"/>
    <w:rsid w:val="390239BE"/>
    <w:rsid w:val="392F4087"/>
    <w:rsid w:val="39652A28"/>
    <w:rsid w:val="397C3770"/>
    <w:rsid w:val="398E59B7"/>
    <w:rsid w:val="39A93E39"/>
    <w:rsid w:val="39AD3929"/>
    <w:rsid w:val="39BA6046"/>
    <w:rsid w:val="3A347BA7"/>
    <w:rsid w:val="3A8F06B9"/>
    <w:rsid w:val="3AAD5BAB"/>
    <w:rsid w:val="3AC32CD9"/>
    <w:rsid w:val="3AE01ADD"/>
    <w:rsid w:val="3B196D9D"/>
    <w:rsid w:val="3B707CFC"/>
    <w:rsid w:val="3B710987"/>
    <w:rsid w:val="3BB371F1"/>
    <w:rsid w:val="3BD36E5C"/>
    <w:rsid w:val="3BDD426E"/>
    <w:rsid w:val="3C4A1903"/>
    <w:rsid w:val="3C6D114E"/>
    <w:rsid w:val="3CD05CA1"/>
    <w:rsid w:val="3D0A2E41"/>
    <w:rsid w:val="3D2A5D63"/>
    <w:rsid w:val="3D3954D4"/>
    <w:rsid w:val="3D532A3A"/>
    <w:rsid w:val="3D5E5F74"/>
    <w:rsid w:val="3D65276D"/>
    <w:rsid w:val="3D68258B"/>
    <w:rsid w:val="3D956BAE"/>
    <w:rsid w:val="3DAE7C70"/>
    <w:rsid w:val="3DBC05DF"/>
    <w:rsid w:val="3E0E6961"/>
    <w:rsid w:val="3E955D97"/>
    <w:rsid w:val="3F1833E3"/>
    <w:rsid w:val="3F20694C"/>
    <w:rsid w:val="3F29599F"/>
    <w:rsid w:val="3F3B5533"/>
    <w:rsid w:val="3F6E5909"/>
    <w:rsid w:val="3F95733A"/>
    <w:rsid w:val="3FAC6431"/>
    <w:rsid w:val="3FB3156E"/>
    <w:rsid w:val="3FF43934"/>
    <w:rsid w:val="4012098A"/>
    <w:rsid w:val="404843AC"/>
    <w:rsid w:val="40B25CC9"/>
    <w:rsid w:val="40CA3013"/>
    <w:rsid w:val="41004C87"/>
    <w:rsid w:val="414C5A16"/>
    <w:rsid w:val="41540B2E"/>
    <w:rsid w:val="41F52311"/>
    <w:rsid w:val="42072045"/>
    <w:rsid w:val="422B5D33"/>
    <w:rsid w:val="42396D83"/>
    <w:rsid w:val="423C1CEE"/>
    <w:rsid w:val="42554B5E"/>
    <w:rsid w:val="429513FF"/>
    <w:rsid w:val="42DE4B54"/>
    <w:rsid w:val="432D727E"/>
    <w:rsid w:val="43454BD3"/>
    <w:rsid w:val="43F565F9"/>
    <w:rsid w:val="43F9776B"/>
    <w:rsid w:val="43FB34E3"/>
    <w:rsid w:val="44627BB5"/>
    <w:rsid w:val="4467501D"/>
    <w:rsid w:val="447A6AFE"/>
    <w:rsid w:val="44A1052F"/>
    <w:rsid w:val="44BA514C"/>
    <w:rsid w:val="44C164DB"/>
    <w:rsid w:val="44C573B6"/>
    <w:rsid w:val="44FE14DD"/>
    <w:rsid w:val="4513485D"/>
    <w:rsid w:val="4545710C"/>
    <w:rsid w:val="457E43CC"/>
    <w:rsid w:val="45C1254A"/>
    <w:rsid w:val="460C4462"/>
    <w:rsid w:val="46761EE9"/>
    <w:rsid w:val="46C871F0"/>
    <w:rsid w:val="46FF153C"/>
    <w:rsid w:val="470B6133"/>
    <w:rsid w:val="475E3426"/>
    <w:rsid w:val="478F0B12"/>
    <w:rsid w:val="47D14C87"/>
    <w:rsid w:val="47D61F8F"/>
    <w:rsid w:val="47F40975"/>
    <w:rsid w:val="48052B82"/>
    <w:rsid w:val="48084421"/>
    <w:rsid w:val="48111527"/>
    <w:rsid w:val="484F02A2"/>
    <w:rsid w:val="48537D92"/>
    <w:rsid w:val="48B85E47"/>
    <w:rsid w:val="49425710"/>
    <w:rsid w:val="49845D29"/>
    <w:rsid w:val="49A53157"/>
    <w:rsid w:val="49D57801"/>
    <w:rsid w:val="49F572F9"/>
    <w:rsid w:val="49FD12F9"/>
    <w:rsid w:val="4A05330E"/>
    <w:rsid w:val="4A056E6A"/>
    <w:rsid w:val="4A08695A"/>
    <w:rsid w:val="4A2C089A"/>
    <w:rsid w:val="4A800BE6"/>
    <w:rsid w:val="4AB16FF2"/>
    <w:rsid w:val="4ACC5BD9"/>
    <w:rsid w:val="4ACE1952"/>
    <w:rsid w:val="4AFB026D"/>
    <w:rsid w:val="4B0435C5"/>
    <w:rsid w:val="4B5A31E5"/>
    <w:rsid w:val="4B8523DA"/>
    <w:rsid w:val="4BEB170C"/>
    <w:rsid w:val="4BF278C2"/>
    <w:rsid w:val="4C1C493F"/>
    <w:rsid w:val="4C211F55"/>
    <w:rsid w:val="4C2555A1"/>
    <w:rsid w:val="4C3E48B5"/>
    <w:rsid w:val="4C4023DB"/>
    <w:rsid w:val="4C455C43"/>
    <w:rsid w:val="4C520360"/>
    <w:rsid w:val="4C567E51"/>
    <w:rsid w:val="4C5C2F8D"/>
    <w:rsid w:val="4C750B57"/>
    <w:rsid w:val="4CA706AC"/>
    <w:rsid w:val="4CBB5F06"/>
    <w:rsid w:val="4CC4300C"/>
    <w:rsid w:val="4CE52F83"/>
    <w:rsid w:val="4D135D42"/>
    <w:rsid w:val="4D353555"/>
    <w:rsid w:val="4D3A507C"/>
    <w:rsid w:val="4D3F2693"/>
    <w:rsid w:val="4DAE3F25"/>
    <w:rsid w:val="4DC1579E"/>
    <w:rsid w:val="4DD03C33"/>
    <w:rsid w:val="4E2F2707"/>
    <w:rsid w:val="4E8D40F2"/>
    <w:rsid w:val="4ECA68D4"/>
    <w:rsid w:val="4F1A33B7"/>
    <w:rsid w:val="4F1F277C"/>
    <w:rsid w:val="4F55619D"/>
    <w:rsid w:val="4F674123"/>
    <w:rsid w:val="503B1837"/>
    <w:rsid w:val="503E6C32"/>
    <w:rsid w:val="50526B81"/>
    <w:rsid w:val="505446A7"/>
    <w:rsid w:val="50574197"/>
    <w:rsid w:val="507A1C34"/>
    <w:rsid w:val="50914CC8"/>
    <w:rsid w:val="50923421"/>
    <w:rsid w:val="50AD3DB7"/>
    <w:rsid w:val="50BE7D72"/>
    <w:rsid w:val="50E05F3B"/>
    <w:rsid w:val="50F8228B"/>
    <w:rsid w:val="511033E7"/>
    <w:rsid w:val="512F2A1E"/>
    <w:rsid w:val="51316717"/>
    <w:rsid w:val="5133250E"/>
    <w:rsid w:val="517D5E7F"/>
    <w:rsid w:val="5181771E"/>
    <w:rsid w:val="51B03B5F"/>
    <w:rsid w:val="525E21E0"/>
    <w:rsid w:val="529E42FF"/>
    <w:rsid w:val="53281E1B"/>
    <w:rsid w:val="5349207F"/>
    <w:rsid w:val="534E1882"/>
    <w:rsid w:val="536410A5"/>
    <w:rsid w:val="536F35A6"/>
    <w:rsid w:val="538662AA"/>
    <w:rsid w:val="53C11EDD"/>
    <w:rsid w:val="53C378F8"/>
    <w:rsid w:val="53D14261"/>
    <w:rsid w:val="53E63D46"/>
    <w:rsid w:val="54102FDB"/>
    <w:rsid w:val="541A0123"/>
    <w:rsid w:val="542720D3"/>
    <w:rsid w:val="54273E81"/>
    <w:rsid w:val="54280325"/>
    <w:rsid w:val="54974291"/>
    <w:rsid w:val="54B576DE"/>
    <w:rsid w:val="54CA318A"/>
    <w:rsid w:val="54F232A5"/>
    <w:rsid w:val="54FC355F"/>
    <w:rsid w:val="550348EE"/>
    <w:rsid w:val="550D12C8"/>
    <w:rsid w:val="55342CF9"/>
    <w:rsid w:val="55540CA5"/>
    <w:rsid w:val="556A04C9"/>
    <w:rsid w:val="55747599"/>
    <w:rsid w:val="55872E29"/>
    <w:rsid w:val="55915A56"/>
    <w:rsid w:val="55A70B9E"/>
    <w:rsid w:val="55B1434A"/>
    <w:rsid w:val="55D65B5E"/>
    <w:rsid w:val="55DB13C7"/>
    <w:rsid w:val="55EB785C"/>
    <w:rsid w:val="564B3E56"/>
    <w:rsid w:val="56521689"/>
    <w:rsid w:val="565C42B5"/>
    <w:rsid w:val="56694C24"/>
    <w:rsid w:val="567C4958"/>
    <w:rsid w:val="569E48CE"/>
    <w:rsid w:val="56D46542"/>
    <w:rsid w:val="571132F2"/>
    <w:rsid w:val="573C40E7"/>
    <w:rsid w:val="57917F8F"/>
    <w:rsid w:val="57F778FF"/>
    <w:rsid w:val="5805272B"/>
    <w:rsid w:val="580F5357"/>
    <w:rsid w:val="582232DD"/>
    <w:rsid w:val="586C4558"/>
    <w:rsid w:val="587C0C3F"/>
    <w:rsid w:val="589A10C5"/>
    <w:rsid w:val="58D565A1"/>
    <w:rsid w:val="58DC7930"/>
    <w:rsid w:val="590F1AB3"/>
    <w:rsid w:val="59462FFB"/>
    <w:rsid w:val="59571D10"/>
    <w:rsid w:val="59701244"/>
    <w:rsid w:val="59C3464B"/>
    <w:rsid w:val="59E91D42"/>
    <w:rsid w:val="59F36CDF"/>
    <w:rsid w:val="5A13112F"/>
    <w:rsid w:val="5A9F6E67"/>
    <w:rsid w:val="5AA47FD9"/>
    <w:rsid w:val="5AAD1584"/>
    <w:rsid w:val="5AD05272"/>
    <w:rsid w:val="5AF54CD9"/>
    <w:rsid w:val="5B093DE2"/>
    <w:rsid w:val="5B9242D5"/>
    <w:rsid w:val="5BA34735"/>
    <w:rsid w:val="5BD40D92"/>
    <w:rsid w:val="5C125416"/>
    <w:rsid w:val="5C4750C0"/>
    <w:rsid w:val="5C675762"/>
    <w:rsid w:val="5C7A5495"/>
    <w:rsid w:val="5C910A31"/>
    <w:rsid w:val="5CBC3D00"/>
    <w:rsid w:val="5CC26E3C"/>
    <w:rsid w:val="5CD60EB2"/>
    <w:rsid w:val="5CFB5EAA"/>
    <w:rsid w:val="5D011713"/>
    <w:rsid w:val="5D0916CD"/>
    <w:rsid w:val="5D494E68"/>
    <w:rsid w:val="5D4F6922"/>
    <w:rsid w:val="5D704AEA"/>
    <w:rsid w:val="5D7D3E07"/>
    <w:rsid w:val="5DB76275"/>
    <w:rsid w:val="5DCA244C"/>
    <w:rsid w:val="5DDE7571"/>
    <w:rsid w:val="5E5F0DE7"/>
    <w:rsid w:val="5E8125B6"/>
    <w:rsid w:val="5EAE7678"/>
    <w:rsid w:val="5EF332DD"/>
    <w:rsid w:val="5F546472"/>
    <w:rsid w:val="5FBC5DC5"/>
    <w:rsid w:val="6008100A"/>
    <w:rsid w:val="601B5C2A"/>
    <w:rsid w:val="602D6CC3"/>
    <w:rsid w:val="6042276E"/>
    <w:rsid w:val="6098413C"/>
    <w:rsid w:val="60C767CF"/>
    <w:rsid w:val="60EE1FAE"/>
    <w:rsid w:val="60F33A68"/>
    <w:rsid w:val="610E6A99"/>
    <w:rsid w:val="611D2893"/>
    <w:rsid w:val="617E083F"/>
    <w:rsid w:val="61B34FA6"/>
    <w:rsid w:val="61BE60C1"/>
    <w:rsid w:val="61D70C94"/>
    <w:rsid w:val="61FC4B9F"/>
    <w:rsid w:val="629D0130"/>
    <w:rsid w:val="62A0552A"/>
    <w:rsid w:val="62A41F1F"/>
    <w:rsid w:val="62DC4380"/>
    <w:rsid w:val="634B54B1"/>
    <w:rsid w:val="63640C4D"/>
    <w:rsid w:val="63C22D2C"/>
    <w:rsid w:val="63DC6A36"/>
    <w:rsid w:val="63FD1B44"/>
    <w:rsid w:val="64085A7D"/>
    <w:rsid w:val="640B731B"/>
    <w:rsid w:val="641206A9"/>
    <w:rsid w:val="64601415"/>
    <w:rsid w:val="64D616D7"/>
    <w:rsid w:val="65053D6A"/>
    <w:rsid w:val="65903152"/>
    <w:rsid w:val="659770B8"/>
    <w:rsid w:val="65CB4FB4"/>
    <w:rsid w:val="65F77D84"/>
    <w:rsid w:val="66067D9A"/>
    <w:rsid w:val="662B5A52"/>
    <w:rsid w:val="663971AB"/>
    <w:rsid w:val="674F2F0C"/>
    <w:rsid w:val="676034DA"/>
    <w:rsid w:val="676A6106"/>
    <w:rsid w:val="67A61834"/>
    <w:rsid w:val="67B04461"/>
    <w:rsid w:val="67C95523"/>
    <w:rsid w:val="68064081"/>
    <w:rsid w:val="680B5B3B"/>
    <w:rsid w:val="687A58C3"/>
    <w:rsid w:val="68A17AFC"/>
    <w:rsid w:val="68A51AEC"/>
    <w:rsid w:val="69205616"/>
    <w:rsid w:val="694B2B38"/>
    <w:rsid w:val="69A12AC1"/>
    <w:rsid w:val="69F10D61"/>
    <w:rsid w:val="69FA3040"/>
    <w:rsid w:val="69FD2180"/>
    <w:rsid w:val="6A0C16F7"/>
    <w:rsid w:val="6A1C4030"/>
    <w:rsid w:val="6A341AF4"/>
    <w:rsid w:val="6A4470E3"/>
    <w:rsid w:val="6A6E4160"/>
    <w:rsid w:val="6A9A6D03"/>
    <w:rsid w:val="6B161061"/>
    <w:rsid w:val="6B427AC6"/>
    <w:rsid w:val="6B741C4A"/>
    <w:rsid w:val="6C47110C"/>
    <w:rsid w:val="6C615D2A"/>
    <w:rsid w:val="6C7528AD"/>
    <w:rsid w:val="6C7D4B2E"/>
    <w:rsid w:val="6C7D7F6F"/>
    <w:rsid w:val="6C82057A"/>
    <w:rsid w:val="6CBE13CE"/>
    <w:rsid w:val="6CDB70F0"/>
    <w:rsid w:val="6CF92406"/>
    <w:rsid w:val="6D0019E7"/>
    <w:rsid w:val="6D056FFD"/>
    <w:rsid w:val="6D0668D1"/>
    <w:rsid w:val="6D21195D"/>
    <w:rsid w:val="6D286848"/>
    <w:rsid w:val="6D52697A"/>
    <w:rsid w:val="6D997745"/>
    <w:rsid w:val="6D9E4D5C"/>
    <w:rsid w:val="6DA22A9E"/>
    <w:rsid w:val="6DA93E2C"/>
    <w:rsid w:val="6DEE5CE3"/>
    <w:rsid w:val="6E105C5A"/>
    <w:rsid w:val="6E131F59"/>
    <w:rsid w:val="6E4F72A3"/>
    <w:rsid w:val="6EBE3907"/>
    <w:rsid w:val="6ECB392F"/>
    <w:rsid w:val="6EE964AB"/>
    <w:rsid w:val="6F06705D"/>
    <w:rsid w:val="6F0B4673"/>
    <w:rsid w:val="6F0C6A0E"/>
    <w:rsid w:val="6F854425"/>
    <w:rsid w:val="6F8A11B6"/>
    <w:rsid w:val="6F9B1553"/>
    <w:rsid w:val="6FAC7C04"/>
    <w:rsid w:val="6FAF4FFE"/>
    <w:rsid w:val="6FD52A02"/>
    <w:rsid w:val="700510C2"/>
    <w:rsid w:val="701A1376"/>
    <w:rsid w:val="701D01BA"/>
    <w:rsid w:val="707029DF"/>
    <w:rsid w:val="70785D38"/>
    <w:rsid w:val="70A71CF7"/>
    <w:rsid w:val="70C525FF"/>
    <w:rsid w:val="7101188A"/>
    <w:rsid w:val="712D08D1"/>
    <w:rsid w:val="712F5337"/>
    <w:rsid w:val="713910F2"/>
    <w:rsid w:val="719E17CE"/>
    <w:rsid w:val="71A14E1B"/>
    <w:rsid w:val="71D945B4"/>
    <w:rsid w:val="71E573FD"/>
    <w:rsid w:val="7238752D"/>
    <w:rsid w:val="725A3947"/>
    <w:rsid w:val="72782B37"/>
    <w:rsid w:val="72EE408F"/>
    <w:rsid w:val="72F357EB"/>
    <w:rsid w:val="730D09BA"/>
    <w:rsid w:val="73465C7A"/>
    <w:rsid w:val="734819F2"/>
    <w:rsid w:val="73593BFF"/>
    <w:rsid w:val="738549F4"/>
    <w:rsid w:val="739015EB"/>
    <w:rsid w:val="73F12A3F"/>
    <w:rsid w:val="74123DAE"/>
    <w:rsid w:val="74213FF1"/>
    <w:rsid w:val="743326A2"/>
    <w:rsid w:val="743D52CE"/>
    <w:rsid w:val="748572D7"/>
    <w:rsid w:val="749E3893"/>
    <w:rsid w:val="74A0378B"/>
    <w:rsid w:val="74B17104"/>
    <w:rsid w:val="74B22D2F"/>
    <w:rsid w:val="74B3733F"/>
    <w:rsid w:val="7521074C"/>
    <w:rsid w:val="753A7A60"/>
    <w:rsid w:val="75680129"/>
    <w:rsid w:val="75846F2D"/>
    <w:rsid w:val="761738FD"/>
    <w:rsid w:val="76393874"/>
    <w:rsid w:val="763B583E"/>
    <w:rsid w:val="76593F16"/>
    <w:rsid w:val="7677439C"/>
    <w:rsid w:val="7682521B"/>
    <w:rsid w:val="76A07D97"/>
    <w:rsid w:val="76BB072D"/>
    <w:rsid w:val="7735228D"/>
    <w:rsid w:val="7755292F"/>
    <w:rsid w:val="775B3513"/>
    <w:rsid w:val="77974CF6"/>
    <w:rsid w:val="77A86098"/>
    <w:rsid w:val="77D0645A"/>
    <w:rsid w:val="77F737DF"/>
    <w:rsid w:val="781A5A1E"/>
    <w:rsid w:val="781C169F"/>
    <w:rsid w:val="78300CA6"/>
    <w:rsid w:val="785B5D23"/>
    <w:rsid w:val="787C248B"/>
    <w:rsid w:val="787E675E"/>
    <w:rsid w:val="78821479"/>
    <w:rsid w:val="78A376CA"/>
    <w:rsid w:val="78B90C9C"/>
    <w:rsid w:val="78D64BF5"/>
    <w:rsid w:val="78E20546"/>
    <w:rsid w:val="78F543CA"/>
    <w:rsid w:val="790A599B"/>
    <w:rsid w:val="791D56CF"/>
    <w:rsid w:val="792425B9"/>
    <w:rsid w:val="793622EC"/>
    <w:rsid w:val="79815C5D"/>
    <w:rsid w:val="798219D5"/>
    <w:rsid w:val="79905EA0"/>
    <w:rsid w:val="79B55907"/>
    <w:rsid w:val="7A1E525A"/>
    <w:rsid w:val="7A24483B"/>
    <w:rsid w:val="7A777060"/>
    <w:rsid w:val="7A97325F"/>
    <w:rsid w:val="7AE446F6"/>
    <w:rsid w:val="7AEC35AA"/>
    <w:rsid w:val="7B242D44"/>
    <w:rsid w:val="7B2E5971"/>
    <w:rsid w:val="7B4909FD"/>
    <w:rsid w:val="7B7A1618"/>
    <w:rsid w:val="7BB73BB8"/>
    <w:rsid w:val="7BFE17E7"/>
    <w:rsid w:val="7C354ADD"/>
    <w:rsid w:val="7CCD2F68"/>
    <w:rsid w:val="7CF36E72"/>
    <w:rsid w:val="7CF624BE"/>
    <w:rsid w:val="7CFE75C5"/>
    <w:rsid w:val="7D0A7D18"/>
    <w:rsid w:val="7D121F07"/>
    <w:rsid w:val="7D3D61C1"/>
    <w:rsid w:val="7D3D633F"/>
    <w:rsid w:val="7D472D1A"/>
    <w:rsid w:val="7D603DDC"/>
    <w:rsid w:val="7D943A85"/>
    <w:rsid w:val="7DF54524"/>
    <w:rsid w:val="7E130E4E"/>
    <w:rsid w:val="7E186464"/>
    <w:rsid w:val="7E9B156F"/>
    <w:rsid w:val="7E9C7095"/>
    <w:rsid w:val="7EC34622"/>
    <w:rsid w:val="7EF0118F"/>
    <w:rsid w:val="7EF7251E"/>
    <w:rsid w:val="7EF944E8"/>
    <w:rsid w:val="7F1B26B0"/>
    <w:rsid w:val="7F201A75"/>
    <w:rsid w:val="7F435763"/>
    <w:rsid w:val="7F4514DB"/>
    <w:rsid w:val="7F4E65E2"/>
    <w:rsid w:val="7FA02BB5"/>
    <w:rsid w:val="7FC40652"/>
    <w:rsid w:val="7FD91C23"/>
    <w:rsid w:val="7FDF723A"/>
    <w:rsid w:val="7FE9630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0"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3"/>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unhideWhenUsed/>
    <w:qFormat/>
    <w:uiPriority w:val="0"/>
    <w:pPr>
      <w:keepNext/>
      <w:keepLines/>
      <w:spacing w:before="260" w:after="260" w:line="416" w:lineRule="auto"/>
      <w:outlineLvl w:val="1"/>
    </w:pPr>
    <w:rPr>
      <w:rFonts w:ascii="Cambria" w:hAnsi="Cambria"/>
      <w:b/>
      <w:bCs/>
      <w:sz w:val="32"/>
      <w:szCs w:val="32"/>
    </w:rPr>
  </w:style>
  <w:style w:type="paragraph" w:styleId="4">
    <w:name w:val="heading 3"/>
    <w:basedOn w:val="1"/>
    <w:next w:val="1"/>
    <w:link w:val="42"/>
    <w:qFormat/>
    <w:uiPriority w:val="0"/>
    <w:pPr>
      <w:keepNext/>
      <w:keepLines/>
      <w:spacing w:before="260" w:after="260" w:line="416" w:lineRule="auto"/>
      <w:outlineLvl w:val="2"/>
    </w:pPr>
    <w:rPr>
      <w:b/>
      <w:bCs/>
      <w:sz w:val="32"/>
      <w:szCs w:val="32"/>
    </w:rPr>
  </w:style>
  <w:style w:type="paragraph" w:styleId="5">
    <w:name w:val="heading 4"/>
    <w:basedOn w:val="1"/>
    <w:next w:val="1"/>
    <w:link w:val="57"/>
    <w:unhideWhenUsed/>
    <w:qFormat/>
    <w:uiPriority w:val="0"/>
    <w:pPr>
      <w:keepNext/>
      <w:keepLines/>
      <w:spacing w:before="280" w:after="290" w:line="376" w:lineRule="auto"/>
      <w:outlineLvl w:val="3"/>
    </w:pPr>
    <w:rPr>
      <w:rFonts w:ascii="Cambria" w:hAnsi="Cambria"/>
      <w:b/>
      <w:bCs/>
      <w:sz w:val="28"/>
      <w:szCs w:val="28"/>
    </w:rPr>
  </w:style>
  <w:style w:type="character" w:default="1" w:styleId="25">
    <w:name w:val="Default Paragraph Font"/>
    <w:semiHidden/>
    <w:unhideWhenUsed/>
    <w:uiPriority w:val="1"/>
  </w:style>
  <w:style w:type="table" w:default="1" w:styleId="23">
    <w:name w:val="Normal Table"/>
    <w:semiHidden/>
    <w:unhideWhenUsed/>
    <w:uiPriority w:val="99"/>
    <w:tblPr>
      <w:tblCellMar>
        <w:top w:w="0" w:type="dxa"/>
        <w:left w:w="108" w:type="dxa"/>
        <w:bottom w:w="0" w:type="dxa"/>
        <w:right w:w="108" w:type="dxa"/>
      </w:tblCellMar>
    </w:tblPr>
  </w:style>
  <w:style w:type="paragraph" w:styleId="6">
    <w:name w:val="Normal Indent"/>
    <w:basedOn w:val="1"/>
    <w:link w:val="44"/>
    <w:qFormat/>
    <w:uiPriority w:val="0"/>
    <w:pPr>
      <w:spacing w:line="360" w:lineRule="auto"/>
      <w:ind w:left="40" w:firstLine="480" w:firstLineChars="200"/>
      <w:jc w:val="left"/>
    </w:pPr>
    <w:rPr>
      <w:rFonts w:ascii="宋体" w:hAnsi="宋体"/>
      <w:sz w:val="24"/>
    </w:rPr>
  </w:style>
  <w:style w:type="paragraph" w:styleId="7">
    <w:name w:val="Document Map"/>
    <w:basedOn w:val="1"/>
    <w:link w:val="32"/>
    <w:semiHidden/>
    <w:unhideWhenUsed/>
    <w:qFormat/>
    <w:uiPriority w:val="0"/>
    <w:rPr>
      <w:rFonts w:ascii="宋体"/>
      <w:sz w:val="18"/>
      <w:szCs w:val="18"/>
    </w:rPr>
  </w:style>
  <w:style w:type="paragraph" w:styleId="8">
    <w:name w:val="Body Text"/>
    <w:basedOn w:val="1"/>
    <w:link w:val="49"/>
    <w:unhideWhenUsed/>
    <w:qFormat/>
    <w:uiPriority w:val="99"/>
    <w:pPr>
      <w:jc w:val="center"/>
    </w:pPr>
  </w:style>
  <w:style w:type="paragraph" w:styleId="9">
    <w:name w:val="Body Text Indent"/>
    <w:basedOn w:val="1"/>
    <w:link w:val="58"/>
    <w:qFormat/>
    <w:uiPriority w:val="0"/>
    <w:pPr>
      <w:spacing w:line="500" w:lineRule="exact"/>
      <w:ind w:firstLine="585"/>
    </w:pPr>
    <w:rPr>
      <w:spacing w:val="-6"/>
      <w:sz w:val="28"/>
      <w:szCs w:val="20"/>
    </w:rPr>
  </w:style>
  <w:style w:type="paragraph" w:styleId="10">
    <w:name w:val="Plain Text"/>
    <w:basedOn w:val="1"/>
    <w:link w:val="54"/>
    <w:qFormat/>
    <w:uiPriority w:val="0"/>
    <w:rPr>
      <w:rFonts w:ascii="宋体" w:hAnsi="Courier New"/>
      <w:szCs w:val="20"/>
    </w:rPr>
  </w:style>
  <w:style w:type="paragraph" w:styleId="11">
    <w:name w:val="Date"/>
    <w:basedOn w:val="1"/>
    <w:next w:val="1"/>
    <w:link w:val="66"/>
    <w:qFormat/>
    <w:uiPriority w:val="0"/>
    <w:pPr>
      <w:ind w:left="100" w:leftChars="2500"/>
    </w:pPr>
  </w:style>
  <w:style w:type="paragraph" w:styleId="12">
    <w:name w:val="Body Text Indent 2"/>
    <w:basedOn w:val="1"/>
    <w:link w:val="59"/>
    <w:qFormat/>
    <w:uiPriority w:val="0"/>
    <w:pPr>
      <w:ind w:firstLine="640" w:firstLineChars="200"/>
    </w:pPr>
    <w:rPr>
      <w:rFonts w:ascii="仿宋_GB2312" w:hAnsi="宋体" w:eastAsia="仿宋_GB2312"/>
      <w:sz w:val="32"/>
    </w:rPr>
  </w:style>
  <w:style w:type="paragraph" w:styleId="13">
    <w:name w:val="Balloon Text"/>
    <w:basedOn w:val="1"/>
    <w:link w:val="33"/>
    <w:semiHidden/>
    <w:unhideWhenUsed/>
    <w:qFormat/>
    <w:uiPriority w:val="0"/>
    <w:rPr>
      <w:sz w:val="18"/>
      <w:szCs w:val="18"/>
    </w:rPr>
  </w:style>
  <w:style w:type="paragraph" w:styleId="14">
    <w:name w:val="footer"/>
    <w:basedOn w:val="1"/>
    <w:link w:val="31"/>
    <w:unhideWhenUsed/>
    <w:qFormat/>
    <w:uiPriority w:val="99"/>
    <w:pPr>
      <w:tabs>
        <w:tab w:val="center" w:pos="4153"/>
        <w:tab w:val="right" w:pos="8306"/>
      </w:tabs>
      <w:snapToGrid w:val="0"/>
      <w:jc w:val="left"/>
    </w:pPr>
    <w:rPr>
      <w:sz w:val="18"/>
      <w:szCs w:val="18"/>
    </w:rPr>
  </w:style>
  <w:style w:type="paragraph" w:styleId="15">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0"/>
    <w:pPr>
      <w:tabs>
        <w:tab w:val="right" w:leader="dot" w:pos="8778"/>
      </w:tabs>
    </w:pPr>
    <w:rPr>
      <w:kern w:val="0"/>
    </w:rPr>
  </w:style>
  <w:style w:type="paragraph" w:styleId="17">
    <w:name w:val="Body Text Indent 3"/>
    <w:basedOn w:val="1"/>
    <w:link w:val="41"/>
    <w:qFormat/>
    <w:uiPriority w:val="0"/>
    <w:pPr>
      <w:spacing w:after="120"/>
      <w:ind w:left="420" w:leftChars="200"/>
    </w:pPr>
    <w:rPr>
      <w:sz w:val="16"/>
      <w:szCs w:val="16"/>
    </w:rPr>
  </w:style>
  <w:style w:type="paragraph" w:styleId="18">
    <w:name w:val="Body Text 2"/>
    <w:basedOn w:val="1"/>
    <w:link w:val="62"/>
    <w:qFormat/>
    <w:uiPriority w:val="0"/>
    <w:pPr>
      <w:spacing w:after="120" w:line="480" w:lineRule="auto"/>
    </w:pPr>
  </w:style>
  <w:style w:type="paragraph" w:styleId="19">
    <w:name w:val="HTML Preformatted"/>
    <w:basedOn w:val="1"/>
    <w:link w:val="7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2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21">
    <w:name w:val="Title"/>
    <w:basedOn w:val="1"/>
    <w:next w:val="1"/>
    <w:link w:val="75"/>
    <w:qFormat/>
    <w:uiPriority w:val="0"/>
    <w:pPr>
      <w:spacing w:before="240" w:after="60"/>
      <w:jc w:val="center"/>
      <w:outlineLvl w:val="0"/>
    </w:pPr>
    <w:rPr>
      <w:rFonts w:ascii="Calibri Light" w:hAnsi="Calibri Light"/>
      <w:b/>
      <w:bCs/>
      <w:sz w:val="32"/>
      <w:szCs w:val="32"/>
    </w:rPr>
  </w:style>
  <w:style w:type="paragraph" w:styleId="22">
    <w:name w:val="Body Text First Indent"/>
    <w:basedOn w:val="8"/>
    <w:qFormat/>
    <w:uiPriority w:val="0"/>
    <w:pPr>
      <w:adjustRightInd w:val="0"/>
      <w:spacing w:line="312" w:lineRule="atLeast"/>
      <w:textAlignment w:val="baseline"/>
    </w:pPr>
  </w:style>
  <w:style w:type="table" w:styleId="24">
    <w:name w:val="Table Grid"/>
    <w:basedOn w:val="23"/>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6">
    <w:name w:val="page number"/>
    <w:basedOn w:val="25"/>
    <w:qFormat/>
    <w:uiPriority w:val="0"/>
  </w:style>
  <w:style w:type="character" w:styleId="27">
    <w:name w:val="FollowedHyperlink"/>
    <w:basedOn w:val="25"/>
    <w:unhideWhenUsed/>
    <w:qFormat/>
    <w:uiPriority w:val="99"/>
    <w:rPr>
      <w:color w:val="800080" w:themeColor="followedHyperlink"/>
      <w:u w:val="single"/>
      <w14:textFill>
        <w14:solidFill>
          <w14:schemeClr w14:val="folHlink"/>
        </w14:solidFill>
      </w14:textFill>
    </w:rPr>
  </w:style>
  <w:style w:type="character" w:styleId="28">
    <w:name w:val="Emphasis"/>
    <w:qFormat/>
    <w:uiPriority w:val="0"/>
    <w:rPr>
      <w:i/>
      <w:iCs/>
    </w:rPr>
  </w:style>
  <w:style w:type="character" w:styleId="29">
    <w:name w:val="Hyperlink"/>
    <w:unhideWhenUsed/>
    <w:qFormat/>
    <w:uiPriority w:val="99"/>
    <w:rPr>
      <w:color w:val="0000FF"/>
      <w:u w:val="single"/>
    </w:rPr>
  </w:style>
  <w:style w:type="character" w:customStyle="1" w:styleId="30">
    <w:name w:val="页眉 Char"/>
    <w:link w:val="15"/>
    <w:qFormat/>
    <w:uiPriority w:val="99"/>
    <w:rPr>
      <w:sz w:val="18"/>
      <w:szCs w:val="18"/>
    </w:rPr>
  </w:style>
  <w:style w:type="character" w:customStyle="1" w:styleId="31">
    <w:name w:val="页脚 Char"/>
    <w:link w:val="14"/>
    <w:qFormat/>
    <w:uiPriority w:val="99"/>
    <w:rPr>
      <w:sz w:val="18"/>
      <w:szCs w:val="18"/>
    </w:rPr>
  </w:style>
  <w:style w:type="character" w:customStyle="1" w:styleId="32">
    <w:name w:val="文档结构图 Char"/>
    <w:link w:val="7"/>
    <w:semiHidden/>
    <w:qFormat/>
    <w:uiPriority w:val="0"/>
    <w:rPr>
      <w:rFonts w:ascii="宋体" w:hAnsi="Times New Roman" w:eastAsia="宋体" w:cs="Times New Roman"/>
      <w:sz w:val="18"/>
      <w:szCs w:val="18"/>
    </w:rPr>
  </w:style>
  <w:style w:type="character" w:customStyle="1" w:styleId="33">
    <w:name w:val="批注框文本 Char"/>
    <w:link w:val="13"/>
    <w:semiHidden/>
    <w:qFormat/>
    <w:uiPriority w:val="0"/>
    <w:rPr>
      <w:rFonts w:ascii="Times New Roman" w:hAnsi="Times New Roman" w:eastAsia="宋体" w:cs="Times New Roman"/>
      <w:sz w:val="18"/>
      <w:szCs w:val="18"/>
    </w:rPr>
  </w:style>
  <w:style w:type="paragraph" w:customStyle="1" w:styleId="34">
    <w:name w:val="列出段落12"/>
    <w:basedOn w:val="1"/>
    <w:qFormat/>
    <w:uiPriority w:val="0"/>
    <w:pPr>
      <w:ind w:firstLine="420" w:firstLineChars="200"/>
    </w:pPr>
  </w:style>
  <w:style w:type="paragraph" w:styleId="35">
    <w:name w:val="List Paragraph"/>
    <w:basedOn w:val="1"/>
    <w:link w:val="36"/>
    <w:unhideWhenUsed/>
    <w:qFormat/>
    <w:uiPriority w:val="34"/>
    <w:pPr>
      <w:ind w:firstLine="420" w:firstLineChars="200"/>
    </w:pPr>
  </w:style>
  <w:style w:type="character" w:customStyle="1" w:styleId="36">
    <w:name w:val="列出段落 Char1"/>
    <w:link w:val="35"/>
    <w:qFormat/>
    <w:locked/>
    <w:uiPriority w:val="34"/>
    <w:rPr>
      <w:rFonts w:ascii="Times New Roman" w:hAnsi="Times New Roman" w:eastAsia="宋体" w:cs="Times New Roman"/>
      <w:szCs w:val="24"/>
    </w:rPr>
  </w:style>
  <w:style w:type="character" w:customStyle="1" w:styleId="37">
    <w:name w:val="项目符号1 Char"/>
    <w:link w:val="38"/>
    <w:qFormat/>
    <w:uiPriority w:val="0"/>
    <w:rPr>
      <w:rFonts w:ascii="宋体" w:hAnsi="宋体"/>
      <w:color w:val="000000"/>
      <w:sz w:val="24"/>
    </w:rPr>
  </w:style>
  <w:style w:type="paragraph" w:customStyle="1" w:styleId="38">
    <w:name w:val="项目符号1"/>
    <w:basedOn w:val="1"/>
    <w:next w:val="1"/>
    <w:link w:val="37"/>
    <w:qFormat/>
    <w:uiPriority w:val="0"/>
    <w:pPr>
      <w:numPr>
        <w:ilvl w:val="0"/>
        <w:numId w:val="1"/>
      </w:numPr>
      <w:wordWrap w:val="0"/>
      <w:spacing w:line="360" w:lineRule="auto"/>
      <w:jc w:val="left"/>
    </w:pPr>
    <w:rPr>
      <w:rFonts w:ascii="宋体" w:hAnsi="宋体"/>
      <w:color w:val="000000"/>
      <w:sz w:val="24"/>
      <w:szCs w:val="22"/>
    </w:rPr>
  </w:style>
  <w:style w:type="paragraph" w:customStyle="1" w:styleId="39">
    <w:name w:val="列出段落1"/>
    <w:basedOn w:val="1"/>
    <w:qFormat/>
    <w:uiPriority w:val="0"/>
    <w:pPr>
      <w:ind w:firstLine="420" w:firstLineChars="200"/>
    </w:pPr>
  </w:style>
  <w:style w:type="character" w:customStyle="1" w:styleId="40">
    <w:name w:val="标题 2 Char"/>
    <w:link w:val="3"/>
    <w:qFormat/>
    <w:uiPriority w:val="0"/>
    <w:rPr>
      <w:rFonts w:ascii="Cambria" w:hAnsi="Cambria" w:eastAsia="宋体" w:cs="Times New Roman"/>
      <w:b/>
      <w:bCs/>
      <w:sz w:val="32"/>
      <w:szCs w:val="32"/>
    </w:rPr>
  </w:style>
  <w:style w:type="character" w:customStyle="1" w:styleId="41">
    <w:name w:val="正文文本缩进 3 Char"/>
    <w:link w:val="17"/>
    <w:qFormat/>
    <w:uiPriority w:val="0"/>
    <w:rPr>
      <w:rFonts w:ascii="Times New Roman" w:hAnsi="Times New Roman" w:eastAsia="宋体" w:cs="Times New Roman"/>
      <w:sz w:val="16"/>
      <w:szCs w:val="16"/>
    </w:rPr>
  </w:style>
  <w:style w:type="character" w:customStyle="1" w:styleId="42">
    <w:name w:val="标题 3 Char"/>
    <w:link w:val="4"/>
    <w:qFormat/>
    <w:uiPriority w:val="0"/>
    <w:rPr>
      <w:rFonts w:ascii="Times New Roman" w:hAnsi="Times New Roman" w:eastAsia="宋体" w:cs="Times New Roman"/>
      <w:b/>
      <w:bCs/>
      <w:sz w:val="32"/>
      <w:szCs w:val="32"/>
    </w:rPr>
  </w:style>
  <w:style w:type="character" w:customStyle="1" w:styleId="43">
    <w:name w:val="标题 1 Char1"/>
    <w:link w:val="2"/>
    <w:qFormat/>
    <w:uiPriority w:val="0"/>
    <w:rPr>
      <w:rFonts w:ascii="Times New Roman" w:hAnsi="Times New Roman" w:eastAsia="宋体" w:cs="Times New Roman"/>
      <w:b/>
      <w:bCs/>
      <w:kern w:val="44"/>
      <w:sz w:val="44"/>
      <w:szCs w:val="44"/>
    </w:rPr>
  </w:style>
  <w:style w:type="character" w:customStyle="1" w:styleId="44">
    <w:name w:val="正文缩进 Char"/>
    <w:link w:val="6"/>
    <w:qFormat/>
    <w:uiPriority w:val="0"/>
    <w:rPr>
      <w:rFonts w:ascii="宋体" w:hAnsi="宋体"/>
      <w:kern w:val="2"/>
      <w:sz w:val="24"/>
      <w:szCs w:val="24"/>
    </w:rPr>
  </w:style>
  <w:style w:type="character" w:customStyle="1" w:styleId="45">
    <w:name w:val="列出段落 Char"/>
    <w:link w:val="46"/>
    <w:qFormat/>
    <w:locked/>
    <w:uiPriority w:val="34"/>
    <w:rPr>
      <w:rFonts w:ascii="Times New Roman" w:hAnsi="Times New Roman"/>
      <w:kern w:val="2"/>
      <w:sz w:val="21"/>
      <w:szCs w:val="24"/>
    </w:rPr>
  </w:style>
  <w:style w:type="paragraph" w:customStyle="1" w:styleId="46">
    <w:name w:val="1"/>
    <w:basedOn w:val="1"/>
    <w:next w:val="35"/>
    <w:link w:val="45"/>
    <w:qFormat/>
    <w:uiPriority w:val="34"/>
    <w:pPr>
      <w:ind w:firstLine="420" w:firstLineChars="200"/>
    </w:pPr>
  </w:style>
  <w:style w:type="character" w:customStyle="1" w:styleId="47">
    <w:name w:val="标题 1 Char"/>
    <w:qFormat/>
    <w:uiPriority w:val="99"/>
    <w:rPr>
      <w:b/>
      <w:bCs/>
      <w:kern w:val="44"/>
      <w:sz w:val="44"/>
      <w:szCs w:val="44"/>
    </w:rPr>
  </w:style>
  <w:style w:type="paragraph" w:customStyle="1" w:styleId="48">
    <w:name w:val="样式 首行缩进:  0 字符"/>
    <w:basedOn w:val="1"/>
    <w:qFormat/>
    <w:uiPriority w:val="0"/>
    <w:pPr>
      <w:spacing w:line="360" w:lineRule="auto"/>
      <w:ind w:firstLine="200" w:firstLineChars="200"/>
    </w:pPr>
    <w:rPr>
      <w:rFonts w:ascii="Arial" w:hAnsi="Arial" w:cs="宋体"/>
      <w:sz w:val="24"/>
      <w:szCs w:val="20"/>
    </w:rPr>
  </w:style>
  <w:style w:type="character" w:customStyle="1" w:styleId="49">
    <w:name w:val="正文文本 Char"/>
    <w:link w:val="8"/>
    <w:qFormat/>
    <w:uiPriority w:val="99"/>
    <w:rPr>
      <w:kern w:val="2"/>
      <w:sz w:val="21"/>
      <w:szCs w:val="24"/>
    </w:rPr>
  </w:style>
  <w:style w:type="paragraph" w:customStyle="1" w:styleId="50">
    <w:name w:val="￥正文"/>
    <w:basedOn w:val="1"/>
    <w:link w:val="51"/>
    <w:qFormat/>
    <w:uiPriority w:val="0"/>
    <w:pPr>
      <w:jc w:val="center"/>
    </w:pPr>
    <w:rPr>
      <w:rFonts w:ascii="Calibri" w:hAnsi="Calibri"/>
      <w:b/>
      <w:bCs/>
      <w:sz w:val="24"/>
      <w:szCs w:val="22"/>
    </w:rPr>
  </w:style>
  <w:style w:type="character" w:customStyle="1" w:styleId="51">
    <w:name w:val="￥正文 Char"/>
    <w:link w:val="50"/>
    <w:qFormat/>
    <w:uiPriority w:val="0"/>
    <w:rPr>
      <w:rFonts w:ascii="Calibri" w:hAnsi="Calibri"/>
      <w:b/>
      <w:bCs/>
      <w:kern w:val="2"/>
      <w:sz w:val="24"/>
      <w:szCs w:val="22"/>
    </w:rPr>
  </w:style>
  <w:style w:type="character" w:customStyle="1" w:styleId="52">
    <w:name w:val="列表段落 字符1"/>
    <w:qFormat/>
    <w:locked/>
    <w:uiPriority w:val="34"/>
    <w:rPr>
      <w:rFonts w:ascii="Times New Roman" w:hAnsi="Times New Roman" w:eastAsia="宋体" w:cs="Times New Roman"/>
      <w:kern w:val="2"/>
      <w:sz w:val="21"/>
      <w:szCs w:val="24"/>
    </w:rPr>
  </w:style>
  <w:style w:type="character" w:customStyle="1" w:styleId="53">
    <w:name w:val="纯文本 字符"/>
    <w:qFormat/>
    <w:uiPriority w:val="0"/>
    <w:rPr>
      <w:rFonts w:ascii="宋体" w:hAnsi="Courier New"/>
      <w:kern w:val="2"/>
      <w:sz w:val="21"/>
      <w:szCs w:val="21"/>
    </w:rPr>
  </w:style>
  <w:style w:type="character" w:customStyle="1" w:styleId="54">
    <w:name w:val="纯文本 Char"/>
    <w:link w:val="10"/>
    <w:qFormat/>
    <w:uiPriority w:val="0"/>
    <w:rPr>
      <w:rFonts w:ascii="宋体" w:hAnsi="Courier New"/>
      <w:kern w:val="2"/>
      <w:sz w:val="21"/>
    </w:rPr>
  </w:style>
  <w:style w:type="character" w:customStyle="1" w:styleId="55">
    <w:name w:val="正文缩进 字符"/>
    <w:qFormat/>
    <w:uiPriority w:val="0"/>
    <w:rPr>
      <w:rFonts w:ascii="宋体" w:hAnsi="宋体" w:eastAsia="宋体" w:cs="Times New Roman"/>
      <w:sz w:val="24"/>
      <w:szCs w:val="24"/>
    </w:rPr>
  </w:style>
  <w:style w:type="character" w:customStyle="1" w:styleId="56">
    <w:name w:val="纯文本 Char1"/>
    <w:qFormat/>
    <w:uiPriority w:val="0"/>
    <w:rPr>
      <w:rFonts w:ascii="宋体" w:hAnsi="Courier New"/>
      <w:kern w:val="2"/>
      <w:sz w:val="21"/>
    </w:rPr>
  </w:style>
  <w:style w:type="character" w:customStyle="1" w:styleId="57">
    <w:name w:val="标题 4 Char"/>
    <w:basedOn w:val="25"/>
    <w:link w:val="5"/>
    <w:semiHidden/>
    <w:qFormat/>
    <w:uiPriority w:val="0"/>
    <w:rPr>
      <w:rFonts w:ascii="Cambria" w:hAnsi="Cambria"/>
      <w:b/>
      <w:bCs/>
      <w:kern w:val="2"/>
      <w:sz w:val="28"/>
      <w:szCs w:val="28"/>
    </w:rPr>
  </w:style>
  <w:style w:type="character" w:customStyle="1" w:styleId="58">
    <w:name w:val="正文文本缩进 Char"/>
    <w:basedOn w:val="25"/>
    <w:link w:val="9"/>
    <w:qFormat/>
    <w:uiPriority w:val="0"/>
    <w:rPr>
      <w:rFonts w:ascii="Times New Roman" w:hAnsi="Times New Roman"/>
      <w:spacing w:val="-6"/>
      <w:kern w:val="2"/>
      <w:sz w:val="28"/>
    </w:rPr>
  </w:style>
  <w:style w:type="character" w:customStyle="1" w:styleId="59">
    <w:name w:val="正文文本缩进 2 Char"/>
    <w:basedOn w:val="25"/>
    <w:link w:val="12"/>
    <w:qFormat/>
    <w:uiPriority w:val="0"/>
    <w:rPr>
      <w:rFonts w:ascii="仿宋_GB2312" w:hAnsi="宋体" w:eastAsia="仿宋_GB2312"/>
      <w:kern w:val="2"/>
      <w:sz w:val="32"/>
      <w:szCs w:val="24"/>
    </w:rPr>
  </w:style>
  <w:style w:type="paragraph" w:customStyle="1" w:styleId="60">
    <w:name w:val="Char"/>
    <w:basedOn w:val="1"/>
    <w:qFormat/>
    <w:uiPriority w:val="0"/>
    <w:pPr>
      <w:spacing w:beforeLines="50" w:afterLines="50"/>
      <w:ind w:firstLine="200" w:firstLineChars="200"/>
    </w:pPr>
    <w:rPr>
      <w:rFonts w:ascii="宋体" w:hAnsi="宋体" w:cs="Courier New"/>
      <w:spacing w:val="-2"/>
      <w:sz w:val="22"/>
      <w:szCs w:val="32"/>
    </w:rPr>
  </w:style>
  <w:style w:type="paragraph" w:customStyle="1" w:styleId="61">
    <w:name w:val="Char1"/>
    <w:basedOn w:val="1"/>
    <w:qFormat/>
    <w:uiPriority w:val="0"/>
    <w:pPr>
      <w:spacing w:beforeLines="50" w:afterLines="50"/>
      <w:ind w:firstLine="200" w:firstLineChars="200"/>
    </w:pPr>
    <w:rPr>
      <w:rFonts w:ascii="宋体" w:hAnsi="宋体" w:cs="Courier New"/>
      <w:spacing w:val="-2"/>
      <w:sz w:val="22"/>
      <w:szCs w:val="32"/>
    </w:rPr>
  </w:style>
  <w:style w:type="character" w:customStyle="1" w:styleId="62">
    <w:name w:val="正文文本 2 Char"/>
    <w:basedOn w:val="25"/>
    <w:link w:val="18"/>
    <w:qFormat/>
    <w:uiPriority w:val="0"/>
    <w:rPr>
      <w:rFonts w:ascii="Times New Roman" w:hAnsi="Times New Roman"/>
      <w:kern w:val="2"/>
      <w:sz w:val="21"/>
      <w:szCs w:val="24"/>
    </w:rPr>
  </w:style>
  <w:style w:type="paragraph" w:customStyle="1" w:styleId="63">
    <w:name w:val="标题一"/>
    <w:basedOn w:val="2"/>
    <w:next w:val="10"/>
    <w:link w:val="64"/>
    <w:qFormat/>
    <w:uiPriority w:val="0"/>
    <w:pPr>
      <w:keepLines w:val="0"/>
      <w:spacing w:beforeLines="50" w:afterLines="50" w:line="500" w:lineRule="exact"/>
      <w:jc w:val="left"/>
    </w:pPr>
    <w:rPr>
      <w:kern w:val="2"/>
      <w:sz w:val="30"/>
      <w:szCs w:val="30"/>
    </w:rPr>
  </w:style>
  <w:style w:type="character" w:customStyle="1" w:styleId="64">
    <w:name w:val="标题一 Char"/>
    <w:link w:val="63"/>
    <w:qFormat/>
    <w:uiPriority w:val="0"/>
    <w:rPr>
      <w:rFonts w:ascii="Times New Roman" w:hAnsi="Times New Roman"/>
      <w:b/>
      <w:bCs/>
      <w:kern w:val="2"/>
      <w:sz w:val="30"/>
      <w:szCs w:val="30"/>
    </w:rPr>
  </w:style>
  <w:style w:type="paragraph" w:customStyle="1" w:styleId="65">
    <w:name w:val="基本文字 Char"/>
    <w:basedOn w:val="1"/>
    <w:qFormat/>
    <w:uiPriority w:val="0"/>
    <w:pPr>
      <w:spacing w:before="156" w:line="400" w:lineRule="atLeast"/>
      <w:ind w:firstLine="540" w:firstLineChars="225"/>
    </w:pPr>
    <w:rPr>
      <w:sz w:val="24"/>
      <w:szCs w:val="20"/>
    </w:rPr>
  </w:style>
  <w:style w:type="character" w:customStyle="1" w:styleId="66">
    <w:name w:val="日期 Char"/>
    <w:basedOn w:val="25"/>
    <w:link w:val="11"/>
    <w:qFormat/>
    <w:uiPriority w:val="0"/>
    <w:rPr>
      <w:rFonts w:ascii="Times New Roman" w:hAnsi="Times New Roman"/>
      <w:kern w:val="2"/>
      <w:sz w:val="21"/>
      <w:szCs w:val="24"/>
    </w:rPr>
  </w:style>
  <w:style w:type="paragraph" w:customStyle="1" w:styleId="67">
    <w:name w:val="Char Char Char Char Char Char Char"/>
    <w:basedOn w:val="1"/>
    <w:qFormat/>
    <w:uiPriority w:val="0"/>
    <w:pPr>
      <w:widowControl/>
      <w:spacing w:after="160" w:line="240" w:lineRule="exact"/>
      <w:jc w:val="left"/>
    </w:pPr>
    <w:rPr>
      <w:rFonts w:ascii="Arial" w:hAnsi="Arial" w:eastAsia="Times New Roman" w:cs="Verdana"/>
      <w:b/>
      <w:kern w:val="0"/>
      <w:sz w:val="24"/>
      <w:lang w:eastAsia="en-US"/>
    </w:rPr>
  </w:style>
  <w:style w:type="paragraph" w:customStyle="1" w:styleId="68">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9">
    <w:name w:val="reader-word-layer"/>
    <w:basedOn w:val="1"/>
    <w:qFormat/>
    <w:uiPriority w:val="0"/>
    <w:pPr>
      <w:widowControl/>
      <w:spacing w:before="100" w:beforeAutospacing="1" w:after="100" w:afterAutospacing="1"/>
      <w:jc w:val="left"/>
    </w:pPr>
    <w:rPr>
      <w:rFonts w:ascii="宋体" w:hAnsi="宋体" w:cs="宋体"/>
      <w:kern w:val="0"/>
      <w:sz w:val="24"/>
    </w:rPr>
  </w:style>
  <w:style w:type="character" w:customStyle="1" w:styleId="70">
    <w:name w:val="apple-converted-space"/>
    <w:basedOn w:val="25"/>
    <w:qFormat/>
    <w:uiPriority w:val="0"/>
  </w:style>
  <w:style w:type="paragraph" w:customStyle="1" w:styleId="71">
    <w:name w:val="表格标题 Char Char"/>
    <w:basedOn w:val="1"/>
    <w:link w:val="72"/>
    <w:qFormat/>
    <w:uiPriority w:val="0"/>
    <w:pPr>
      <w:spacing w:afterLines="300"/>
      <w:jc w:val="center"/>
    </w:pPr>
    <w:rPr>
      <w:rFonts w:ascii="宋体" w:eastAsia="黑体"/>
      <w:sz w:val="24"/>
      <w:szCs w:val="21"/>
    </w:rPr>
  </w:style>
  <w:style w:type="character" w:customStyle="1" w:styleId="72">
    <w:name w:val="表格标题 Char Char Char"/>
    <w:link w:val="71"/>
    <w:qFormat/>
    <w:uiPriority w:val="0"/>
    <w:rPr>
      <w:rFonts w:ascii="宋体" w:hAnsi="Times New Roman" w:eastAsia="黑体"/>
      <w:kern w:val="2"/>
      <w:sz w:val="24"/>
      <w:szCs w:val="21"/>
    </w:rPr>
  </w:style>
  <w:style w:type="paragraph" w:customStyle="1" w:styleId="73">
    <w:name w:val="标号 Char"/>
    <w:basedOn w:val="1"/>
    <w:link w:val="74"/>
    <w:qFormat/>
    <w:uiPriority w:val="0"/>
    <w:rPr>
      <w:rFonts w:ascii="宋体"/>
      <w:szCs w:val="21"/>
    </w:rPr>
  </w:style>
  <w:style w:type="character" w:customStyle="1" w:styleId="74">
    <w:name w:val="标号 Char Char"/>
    <w:link w:val="73"/>
    <w:qFormat/>
    <w:uiPriority w:val="0"/>
    <w:rPr>
      <w:rFonts w:ascii="宋体" w:hAnsi="Times New Roman"/>
      <w:kern w:val="2"/>
      <w:sz w:val="21"/>
      <w:szCs w:val="21"/>
    </w:rPr>
  </w:style>
  <w:style w:type="character" w:customStyle="1" w:styleId="75">
    <w:name w:val="标题 Char"/>
    <w:basedOn w:val="25"/>
    <w:link w:val="21"/>
    <w:qFormat/>
    <w:uiPriority w:val="0"/>
    <w:rPr>
      <w:rFonts w:ascii="Calibri Light" w:hAnsi="Calibri Light"/>
      <w:b/>
      <w:bCs/>
      <w:kern w:val="2"/>
      <w:sz w:val="32"/>
      <w:szCs w:val="32"/>
    </w:rPr>
  </w:style>
  <w:style w:type="character" w:customStyle="1" w:styleId="76">
    <w:name w:val="HTML 预设格式 Char"/>
    <w:basedOn w:val="25"/>
    <w:link w:val="19"/>
    <w:qFormat/>
    <w:uiPriority w:val="0"/>
    <w:rPr>
      <w:rFonts w:ascii="Arial" w:hAnsi="Arial"/>
      <w:sz w:val="24"/>
      <w:szCs w:val="24"/>
    </w:rPr>
  </w:style>
  <w:style w:type="paragraph" w:customStyle="1" w:styleId="77">
    <w:name w:val="_Style 73"/>
    <w:unhideWhenUsed/>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8">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79">
    <w:name w:val="xl63"/>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0"/>
      <w:szCs w:val="20"/>
    </w:rPr>
  </w:style>
  <w:style w:type="paragraph" w:customStyle="1" w:styleId="80">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81">
    <w:name w:val="xl65"/>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2">
    <w:name w:val="xl66"/>
    <w:basedOn w:val="1"/>
    <w:qFormat/>
    <w:uiPriority w:val="0"/>
    <w:pPr>
      <w:widowControl/>
      <w:spacing w:before="100" w:beforeAutospacing="1" w:after="100" w:afterAutospacing="1"/>
      <w:jc w:val="center"/>
    </w:pPr>
    <w:rPr>
      <w:rFonts w:ascii="宋体" w:hAnsi="宋体" w:cs="宋体"/>
      <w:kern w:val="0"/>
      <w:sz w:val="20"/>
      <w:szCs w:val="20"/>
    </w:rPr>
  </w:style>
  <w:style w:type="paragraph" w:customStyle="1" w:styleId="83">
    <w:name w:val="xl67"/>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84">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85">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FF0000"/>
      <w:kern w:val="0"/>
      <w:sz w:val="20"/>
      <w:szCs w:val="20"/>
    </w:rPr>
  </w:style>
  <w:style w:type="paragraph" w:customStyle="1" w:styleId="86">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87">
    <w:name w:val="xl71"/>
    <w:basedOn w:val="1"/>
    <w:qFormat/>
    <w:uiPriority w:val="0"/>
    <w:pPr>
      <w:widowControl/>
      <w:shd w:val="clear" w:color="000000" w:fill="FFFF00"/>
      <w:spacing w:before="100" w:beforeAutospacing="1" w:after="100" w:afterAutospacing="1"/>
      <w:jc w:val="left"/>
    </w:pPr>
    <w:rPr>
      <w:rFonts w:ascii="宋体" w:hAnsi="宋体" w:cs="宋体"/>
      <w:kern w:val="0"/>
      <w:sz w:val="20"/>
      <w:szCs w:val="20"/>
    </w:rPr>
  </w:style>
  <w:style w:type="paragraph" w:customStyle="1" w:styleId="88">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
    <w:name w:val="xl7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90">
    <w:name w:val="xl7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91">
    <w:name w:val="xl7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92">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93">
    <w:name w:val="xl7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94">
    <w:name w:val="xl78"/>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宋体" w:hAnsi="宋体" w:cs="宋体"/>
      <w:kern w:val="0"/>
      <w:sz w:val="20"/>
      <w:szCs w:val="20"/>
    </w:rPr>
  </w:style>
  <w:style w:type="paragraph" w:customStyle="1" w:styleId="95">
    <w:name w:val="xl7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96">
    <w:name w:val="xl80"/>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sz w:val="20"/>
      <w:szCs w:val="20"/>
    </w:rPr>
  </w:style>
  <w:style w:type="paragraph" w:customStyle="1" w:styleId="97">
    <w:name w:val="xl81"/>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0"/>
      <w:szCs w:val="20"/>
    </w:rPr>
  </w:style>
  <w:style w:type="paragraph" w:customStyle="1" w:styleId="98">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C000"/>
      <w:spacing w:before="100" w:beforeAutospacing="1" w:after="100" w:afterAutospacing="1"/>
      <w:jc w:val="center"/>
    </w:pPr>
    <w:rPr>
      <w:rFonts w:ascii="宋体" w:hAnsi="宋体" w:cs="宋体"/>
      <w:color w:val="FF0000"/>
      <w:kern w:val="0"/>
      <w:sz w:val="20"/>
      <w:szCs w:val="20"/>
    </w:rPr>
  </w:style>
  <w:style w:type="paragraph" w:customStyle="1" w:styleId="99">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C000"/>
      <w:spacing w:before="100" w:beforeAutospacing="1" w:after="100" w:afterAutospacing="1"/>
      <w:jc w:val="center"/>
    </w:pPr>
    <w:rPr>
      <w:rFonts w:ascii="宋体" w:hAnsi="宋体" w:cs="宋体"/>
      <w:kern w:val="0"/>
      <w:sz w:val="20"/>
      <w:szCs w:val="20"/>
    </w:rPr>
  </w:style>
  <w:style w:type="paragraph" w:customStyle="1" w:styleId="10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C00000"/>
      <w:kern w:val="0"/>
      <w:sz w:val="20"/>
      <w:szCs w:val="20"/>
    </w:rPr>
  </w:style>
  <w:style w:type="paragraph" w:customStyle="1" w:styleId="101">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02">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color w:val="FF0000"/>
      <w:kern w:val="0"/>
      <w:sz w:val="20"/>
      <w:szCs w:val="20"/>
    </w:rPr>
  </w:style>
  <w:style w:type="paragraph" w:customStyle="1" w:styleId="103">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jc w:val="center"/>
    </w:pPr>
    <w:rPr>
      <w:rFonts w:ascii="宋体" w:hAnsi="宋体" w:cs="宋体"/>
      <w:b/>
      <w:bCs/>
      <w:kern w:val="0"/>
      <w:sz w:val="20"/>
      <w:szCs w:val="20"/>
    </w:rPr>
  </w:style>
  <w:style w:type="paragraph" w:customStyle="1" w:styleId="104">
    <w:name w:val="xl88"/>
    <w:basedOn w:val="1"/>
    <w:qFormat/>
    <w:uiPriority w:val="0"/>
    <w:pPr>
      <w:widowControl/>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jc w:val="center"/>
    </w:pPr>
    <w:rPr>
      <w:rFonts w:ascii="宋体" w:hAnsi="宋体" w:cs="宋体"/>
      <w:b/>
      <w:bCs/>
      <w:kern w:val="0"/>
      <w:sz w:val="20"/>
      <w:szCs w:val="20"/>
    </w:rPr>
  </w:style>
  <w:style w:type="paragraph" w:customStyle="1" w:styleId="105">
    <w:name w:val="xl89"/>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sz w:val="20"/>
      <w:szCs w:val="20"/>
    </w:rPr>
  </w:style>
  <w:style w:type="paragraph" w:customStyle="1" w:styleId="106">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107">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08">
    <w:name w:val="xl92"/>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09">
    <w:name w:val="xl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110">
    <w:name w:val="xl9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0"/>
      <w:szCs w:val="20"/>
    </w:rPr>
  </w:style>
  <w:style w:type="paragraph" w:customStyle="1" w:styleId="111">
    <w:name w:val="xl95"/>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0"/>
      <w:szCs w:val="20"/>
    </w:rPr>
  </w:style>
  <w:style w:type="paragraph" w:customStyle="1" w:styleId="112">
    <w:name w:val="xl9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sz w:val="20"/>
      <w:szCs w:val="20"/>
    </w:rPr>
  </w:style>
  <w:style w:type="paragraph" w:customStyle="1" w:styleId="113">
    <w:name w:val="xl97"/>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0"/>
      <w:szCs w:val="20"/>
    </w:rPr>
  </w:style>
  <w:style w:type="paragraph" w:customStyle="1" w:styleId="114">
    <w:name w:val="msolistparagraph"/>
    <w:basedOn w:val="1"/>
    <w:qFormat/>
    <w:uiPriority w:val="0"/>
    <w:pPr>
      <w:ind w:firstLine="420" w:firstLineChars="200"/>
    </w:pPr>
  </w:style>
  <w:style w:type="character" w:customStyle="1" w:styleId="115">
    <w:name w:val="font21"/>
    <w:qFormat/>
    <w:uiPriority w:val="0"/>
    <w:rPr>
      <w:rFonts w:hint="eastAsia" w:ascii="宋体" w:hAnsi="宋体" w:eastAsia="宋体" w:cs="宋体"/>
      <w:color w:val="000000"/>
      <w:sz w:val="21"/>
      <w:szCs w:val="21"/>
      <w:u w:val="none"/>
    </w:rPr>
  </w:style>
  <w:style w:type="character" w:customStyle="1" w:styleId="116">
    <w:name w:val="font11"/>
    <w:qFormat/>
    <w:uiPriority w:val="0"/>
    <w:rPr>
      <w:rFonts w:hint="eastAsia" w:ascii="宋体" w:hAnsi="宋体" w:eastAsia="宋体" w:cs="宋体"/>
      <w:color w:val="000000"/>
      <w:sz w:val="21"/>
      <w:szCs w:val="21"/>
      <w:u w:val="none"/>
    </w:rPr>
  </w:style>
  <w:style w:type="character" w:customStyle="1" w:styleId="117">
    <w:name w:val="font41"/>
    <w:qFormat/>
    <w:uiPriority w:val="0"/>
    <w:rPr>
      <w:rFonts w:hint="default" w:ascii="Times New Roman" w:hAnsi="Times New Roman" w:cs="Times New Roman"/>
      <w:color w:val="000000"/>
      <w:sz w:val="21"/>
      <w:szCs w:val="21"/>
      <w:u w:val="none"/>
    </w:rPr>
  </w:style>
  <w:style w:type="character" w:customStyle="1" w:styleId="118">
    <w:name w:val="font31"/>
    <w:qFormat/>
    <w:uiPriority w:val="0"/>
    <w:rPr>
      <w:rFonts w:hint="default" w:ascii="Times New Roman" w:hAnsi="Times New Roman" w:cs="Times New Roman"/>
      <w:color w:val="000000"/>
      <w:sz w:val="21"/>
      <w:szCs w:val="21"/>
      <w:u w:val="none"/>
    </w:rPr>
  </w:style>
  <w:style w:type="character" w:customStyle="1" w:styleId="119">
    <w:name w:val="纯文本 字符1"/>
    <w:basedOn w:val="25"/>
    <w:qFormat/>
    <w:uiPriority w:val="0"/>
    <w:rPr>
      <w:rFonts w:hint="eastAsia" w:ascii="宋体" w:hAnsi="Courier New" w:eastAsia="宋体" w:cs="宋体"/>
      <w:kern w:val="2"/>
      <w:sz w:val="21"/>
    </w:rPr>
  </w:style>
  <w:style w:type="paragraph" w:customStyle="1" w:styleId="120">
    <w:name w:val="修订1"/>
    <w:hidden/>
    <w:semiHidden/>
    <w:qFormat/>
    <w:uiPriority w:val="99"/>
    <w:rPr>
      <w:rFonts w:ascii="Times New Roman" w:hAnsi="Times New Roman" w:eastAsia="宋体" w:cs="Times New Roman"/>
      <w:kern w:val="2"/>
      <w:sz w:val="21"/>
      <w:szCs w:val="24"/>
      <w:lang w:val="en-US" w:eastAsia="zh-CN" w:bidi="ar-SA"/>
    </w:rPr>
  </w:style>
  <w:style w:type="paragraph" w:customStyle="1" w:styleId="121">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122">
    <w:name w:val="font01"/>
    <w:basedOn w:val="25"/>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6.xml"/><Relationship Id="rId7" Type="http://schemas.openxmlformats.org/officeDocument/2006/relationships/header" Target="header5.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3089"/>
    <customShpInfo spid="_x0000_s1026"/>
    <customShpInfo spid="_x0000_s3088"/>
    <customShpInfo spid="_x0000_s3087"/>
    <customShpInfo spid="_x0000_s3092"/>
    <customShpInfo spid="_x0000_s3091"/>
    <customShpInfo spid="_x0000_s3090"/>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3B5FD8-BCB4-44F2-86C0-9B29579F73D0}">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Pages>
  <Words>5393</Words>
  <Characters>30744</Characters>
  <Lines>256</Lines>
  <Paragraphs>72</Paragraphs>
  <TotalTime>297</TotalTime>
  <ScaleCrop>false</ScaleCrop>
  <LinksUpToDate>false</LinksUpToDate>
  <CharactersWithSpaces>36065</CharactersWithSpaces>
  <Application>WPS Office_11.8.6.8810_F1E327BC-269C-435d-A152-05C5408002CA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2025-06-07T15:02:00Z</dcterms:created>
  <dc:creator>User</dc:creator>
  <cp:lastModifiedBy>Administrator</cp:lastModifiedBy>
  <cp:lastPrinted>2025-08-15T11:56:00Z</cp:lastPrinted>
  <dcterms:modified xsi:type="dcterms:W3CDTF">2025-12-03T08:41:13Z</dcterms:modified>
  <cp:revision>6180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2052-11.8.6.8810</vt:lpwstr>
  </property>
  <property fmtid="{D5CDD505-2E9C-101B-9397-08002B2CF9AE}" pid="3" name="ICV">
    <vt:lpwstr>6FDEF43FF4DE4E29BAB9400F60A12801</vt:lpwstr>
  </property>
  <property fmtid="{D5CDD505-2E9C-101B-9397-08002B2CF9AE}" pid="4" name="KSOTemplateDocerSaveRecord">
    <vt:lpwstr>eyJoZGlkIjoiYWU1NDFkMjYyOGFlYzkxOWU5ZjlmYzUxNDQ3MGY1NjAiLCJ1c2VySWQiOiI0Njg1ODQ3OTcifQ==</vt:lpwstr>
  </property>
</Properties>
</file>